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99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1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1" w:type="dxa"/>
            <w:shd w:val="clear" w:color="auto" w:fill="C2D69B"/>
          </w:tcPr>
          <w:p w:rsidR="00204290" w:rsidRDefault="00351E21">
            <w:pPr>
              <w:contextualSpacing w:val="0"/>
              <w:jc w:val="center"/>
            </w:pPr>
            <w:r>
              <w:rPr>
                <w:b/>
                <w:sz w:val="28"/>
                <w:szCs w:val="28"/>
                <w:shd w:val="clear" w:color="auto" w:fill="C2D69B"/>
              </w:rPr>
              <w:t>LISTA DE VERIFICAÇÃO MENSAL</w:t>
            </w:r>
          </w:p>
        </w:tc>
      </w:tr>
    </w:tbl>
    <w:p w:rsidR="00204290" w:rsidRDefault="00351E21">
      <w:pPr>
        <w:spacing w:line="240" w:lineRule="auto"/>
        <w:ind w:left="142"/>
        <w:jc w:val="both"/>
        <w:sectPr w:rsidR="00204290" w:rsidSect="00E355B0">
          <w:headerReference w:type="default" r:id="rId8"/>
          <w:footerReference w:type="default" r:id="rId9"/>
          <w:pgSz w:w="11906" w:h="16838"/>
          <w:pgMar w:top="567" w:right="1134" w:bottom="567" w:left="1134" w:header="0" w:footer="720" w:gutter="0"/>
          <w:pgNumType w:start="1"/>
          <w:cols w:space="720"/>
        </w:sectPr>
      </w:pPr>
      <w:r>
        <w:rPr>
          <w:sz w:val="20"/>
          <w:szCs w:val="20"/>
        </w:rPr>
        <w:t xml:space="preserve">Sequência de atos necessária e insuscetível de alteração ou supressão, que deve ser observada na instrução de cada processo de pagamentos de contratos de </w:t>
      </w:r>
      <w:r>
        <w:rPr>
          <w:b/>
          <w:sz w:val="20"/>
          <w:szCs w:val="20"/>
        </w:rPr>
        <w:t>serviços terceirizados</w:t>
      </w:r>
      <w:r>
        <w:rPr>
          <w:sz w:val="20"/>
          <w:szCs w:val="20"/>
        </w:rPr>
        <w:t>.</w:t>
      </w:r>
      <w:proofErr w:type="gramStart"/>
    </w:p>
    <w:p w:rsidR="00204290" w:rsidRDefault="00351E21">
      <w:pPr>
        <w:tabs>
          <w:tab w:val="left" w:pos="284"/>
        </w:tabs>
        <w:spacing w:after="0" w:line="240" w:lineRule="auto"/>
        <w:ind w:left="142"/>
        <w:jc w:val="both"/>
      </w:pPr>
      <w:proofErr w:type="gramEnd"/>
      <w:r>
        <w:rPr>
          <w:b/>
          <w:color w:val="76923C"/>
          <w:sz w:val="20"/>
          <w:szCs w:val="20"/>
        </w:rPr>
        <w:lastRenderedPageBreak/>
        <w:t>Essa Lista de Verificação deverá ser anexada juntada os</w:t>
      </w:r>
      <w:r>
        <w:rPr>
          <w:b/>
          <w:color w:val="76923C"/>
          <w:sz w:val="20"/>
          <w:szCs w:val="20"/>
        </w:rPr>
        <w:t xml:space="preserve"> autos do processo original. </w:t>
      </w:r>
    </w:p>
    <w:p w:rsidR="00204290" w:rsidRDefault="00351E21">
      <w:pPr>
        <w:tabs>
          <w:tab w:val="left" w:pos="284"/>
        </w:tabs>
        <w:spacing w:after="0" w:line="240" w:lineRule="auto"/>
        <w:ind w:left="142"/>
        <w:jc w:val="both"/>
      </w:pPr>
      <w:r>
        <w:rPr>
          <w:b/>
          <w:color w:val="76923C"/>
          <w:sz w:val="20"/>
          <w:szCs w:val="20"/>
        </w:rPr>
        <w:lastRenderedPageBreak/>
        <w:t>O Fiscal e o Gestor deverão rubricar todas as folhas dessa Lista de Verificação</w:t>
      </w:r>
      <w:r>
        <w:rPr>
          <w:b/>
          <w:color w:val="76923C"/>
          <w:sz w:val="20"/>
          <w:szCs w:val="20"/>
        </w:rPr>
        <w:t>.</w:t>
      </w:r>
    </w:p>
    <w:p w:rsidR="00204290" w:rsidRDefault="00351E21">
      <w:pPr>
        <w:tabs>
          <w:tab w:val="left" w:pos="284"/>
        </w:tabs>
        <w:spacing w:after="0" w:line="240" w:lineRule="auto"/>
        <w:ind w:left="142"/>
        <w:jc w:val="both"/>
        <w:sectPr w:rsidR="00204290" w:rsidSect="00E355B0">
          <w:type w:val="continuous"/>
          <w:pgSz w:w="11906" w:h="16838"/>
          <w:pgMar w:top="567" w:right="1134" w:bottom="567" w:left="1134" w:header="0" w:footer="720" w:gutter="0"/>
          <w:cols w:num="3" w:space="720" w:equalWidth="0">
            <w:col w:w="2591" w:space="720"/>
            <w:col w:w="2733" w:space="720"/>
            <w:col w:w="2873" w:space="0"/>
          </w:cols>
        </w:sectPr>
      </w:pPr>
      <w:r>
        <w:rPr>
          <w:b/>
          <w:color w:val="76923C"/>
          <w:sz w:val="20"/>
          <w:szCs w:val="20"/>
        </w:rPr>
        <w:lastRenderedPageBreak/>
        <w:t>Imprimir preferencialmente em duplex e colocar logo após a capa do processo</w:t>
      </w:r>
      <w:r>
        <w:rPr>
          <w:b/>
          <w:color w:val="76923C"/>
          <w:sz w:val="20"/>
          <w:szCs w:val="20"/>
        </w:rPr>
        <w:t>.</w:t>
      </w:r>
      <w:proofErr w:type="gramStart"/>
    </w:p>
    <w:p w:rsidR="00204290" w:rsidRDefault="00204290">
      <w:pPr>
        <w:widowControl w:val="0"/>
        <w:spacing w:after="0"/>
      </w:pPr>
      <w:proofErr w:type="gramEnd"/>
    </w:p>
    <w:tbl>
      <w:tblPr>
        <w:tblStyle w:val="a0"/>
        <w:tblW w:w="999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1290"/>
        <w:gridCol w:w="2775"/>
        <w:gridCol w:w="2431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95" w:type="dxa"/>
          </w:tcPr>
          <w:p w:rsidR="00204290" w:rsidRDefault="00351E21" w:rsidP="00E355B0">
            <w:pPr>
              <w:contextualSpacing w:val="0"/>
            </w:pPr>
            <w:r>
              <w:rPr>
                <w:b/>
                <w:sz w:val="20"/>
                <w:szCs w:val="20"/>
              </w:rPr>
              <w:t>Fiscalização do Contrato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Nº: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E355B0"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Objeto:</w:t>
            </w:r>
            <w:r>
              <w:rPr>
                <w:sz w:val="20"/>
                <w:szCs w:val="20"/>
              </w:rPr>
              <w:t xml:space="preserve"> </w:t>
            </w:r>
            <w:r w:rsidR="00E355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5" w:type="dxa"/>
            <w:gridSpan w:val="2"/>
          </w:tcPr>
          <w:p w:rsidR="00204290" w:rsidRDefault="00351E21">
            <w:pPr>
              <w:contextualSpacing w:val="0"/>
            </w:pPr>
            <w:r>
              <w:rPr>
                <w:b/>
                <w:sz w:val="20"/>
                <w:szCs w:val="20"/>
              </w:rPr>
              <w:t>Contratada: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355B0">
              <w:rPr>
                <w:sz w:val="20"/>
                <w:szCs w:val="20"/>
              </w:rPr>
              <w:t xml:space="preserve"> </w:t>
            </w:r>
          </w:p>
          <w:p w:rsidR="00204290" w:rsidRDefault="00351E21" w:rsidP="00E355B0">
            <w:pPr>
              <w:contextualSpacing w:val="0"/>
            </w:pPr>
            <w:proofErr w:type="gramEnd"/>
            <w:r>
              <w:rPr>
                <w:b/>
                <w:sz w:val="20"/>
                <w:szCs w:val="20"/>
              </w:rPr>
              <w:t>CNPJ: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355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204290" w:rsidRDefault="00351E21">
            <w:pPr>
              <w:contextualSpacing w:val="0"/>
              <w:rPr>
                <w:b/>
                <w:sz w:val="20"/>
                <w:szCs w:val="20"/>
              </w:rPr>
            </w:pPr>
            <w:proofErr w:type="gramEnd"/>
            <w:r>
              <w:rPr>
                <w:b/>
                <w:sz w:val="20"/>
                <w:szCs w:val="20"/>
              </w:rPr>
              <w:t xml:space="preserve">Vigência do Contrato: </w:t>
            </w:r>
          </w:p>
          <w:p w:rsidR="00204290" w:rsidRDefault="00E355B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gridSpan w:val="2"/>
          </w:tcPr>
          <w:p w:rsidR="00204290" w:rsidRDefault="00351E21">
            <w:pPr>
              <w:contextualSpacing w:val="0"/>
            </w:pPr>
            <w:r>
              <w:rPr>
                <w:b/>
                <w:sz w:val="20"/>
                <w:szCs w:val="20"/>
              </w:rPr>
              <w:t>Número do Processo Original:</w:t>
            </w:r>
          </w:p>
          <w:p w:rsidR="00204290" w:rsidRDefault="00204290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2"/>
          </w:tcPr>
          <w:p w:rsidR="00204290" w:rsidRDefault="00351E21">
            <w:pPr>
              <w:contextualSpacing w:val="0"/>
              <w:rPr>
                <w:b/>
              </w:rPr>
            </w:pPr>
            <w:r>
              <w:rPr>
                <w:b/>
                <w:sz w:val="20"/>
                <w:szCs w:val="20"/>
              </w:rPr>
              <w:t>Número do processo Acessório (</w:t>
            </w:r>
            <w:r>
              <w:rPr>
                <w:color w:val="FF0000"/>
                <w:sz w:val="20"/>
                <w:szCs w:val="20"/>
              </w:rPr>
              <w:t>alterar todo mês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204290" w:rsidRDefault="00204290">
      <w:pPr>
        <w:spacing w:after="0"/>
      </w:pPr>
    </w:p>
    <w:tbl>
      <w:tblPr>
        <w:tblStyle w:val="a1"/>
        <w:tblW w:w="999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3795"/>
        <w:gridCol w:w="1943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04290" w:rsidRDefault="00351E21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 prestado em</w:t>
            </w:r>
            <w:r w:rsidR="00E355B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E355B0">
              <w:rPr>
                <w:b/>
                <w:sz w:val="20"/>
                <w:szCs w:val="20"/>
              </w:rPr>
              <w:t>mmaaaa</w:t>
            </w:r>
            <w:proofErr w:type="spellEnd"/>
            <w:r w:rsidR="00E355B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E355B0" w:rsidRPr="00E355B0" w:rsidRDefault="00E355B0">
            <w:pPr>
              <w:contextualSpacing w:val="0"/>
            </w:pPr>
            <w:bookmarkStart w:id="0" w:name="_GoBack"/>
            <w:bookmarkEnd w:id="0"/>
          </w:p>
        </w:tc>
        <w:tc>
          <w:tcPr>
            <w:tcW w:w="1985" w:type="dxa"/>
          </w:tcPr>
          <w:p w:rsidR="00204290" w:rsidRDefault="00351E21">
            <w:pPr>
              <w:contextualSpacing w:val="0"/>
            </w:pPr>
            <w:r>
              <w:rPr>
                <w:b/>
                <w:sz w:val="20"/>
                <w:szCs w:val="20"/>
              </w:rPr>
              <w:t>Do dia: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  <w:p w:rsidR="00204290" w:rsidRDefault="00351E21" w:rsidP="00E355B0">
            <w:pPr>
              <w:contextualSpacing w:val="0"/>
            </w:pPr>
            <w:proofErr w:type="gramEnd"/>
            <w:r>
              <w:rPr>
                <w:b/>
                <w:sz w:val="20"/>
                <w:szCs w:val="20"/>
              </w:rPr>
              <w:t>Ao dia: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95" w:type="dxa"/>
          </w:tcPr>
          <w:p w:rsidR="00204290" w:rsidRDefault="00351E21">
            <w:pPr>
              <w:contextualSpacing w:val="0"/>
            </w:pPr>
            <w:proofErr w:type="gramEnd"/>
            <w:r>
              <w:rPr>
                <w:b/>
                <w:sz w:val="20"/>
                <w:szCs w:val="20"/>
              </w:rPr>
              <w:t>Unidade da prestação do serviço:</w:t>
            </w:r>
          </w:p>
          <w:p w:rsidR="00204290" w:rsidRDefault="00204290">
            <w:pPr>
              <w:contextualSpacing w:val="0"/>
              <w:rPr>
                <w:b/>
              </w:rPr>
            </w:pPr>
          </w:p>
        </w:tc>
        <w:tc>
          <w:tcPr>
            <w:tcW w:w="1943" w:type="dxa"/>
          </w:tcPr>
          <w:p w:rsidR="00204290" w:rsidRDefault="00351E21" w:rsidP="00E355B0">
            <w:pPr>
              <w:contextualSpacing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Nº de Empregados: </w:t>
            </w:r>
          </w:p>
        </w:tc>
      </w:tr>
    </w:tbl>
    <w:p w:rsidR="00204290" w:rsidRDefault="00204290">
      <w:pPr>
        <w:spacing w:after="0"/>
        <w:ind w:left="142"/>
      </w:pPr>
    </w:p>
    <w:tbl>
      <w:tblPr>
        <w:tblStyle w:val="a2"/>
        <w:tblW w:w="999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4604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:rsidR="00204290" w:rsidRDefault="00351E21">
            <w:pPr>
              <w:contextualSpacing w:val="0"/>
            </w:pPr>
            <w:r>
              <w:rPr>
                <w:b/>
              </w:rPr>
              <w:t xml:space="preserve">Número da Nota Fiscal: </w:t>
            </w:r>
          </w:p>
          <w:p w:rsidR="00204290" w:rsidRDefault="00204290">
            <w:pPr>
              <w:contextualSpacing w:val="0"/>
            </w:pPr>
          </w:p>
        </w:tc>
        <w:tc>
          <w:tcPr>
            <w:tcW w:w="2835" w:type="dxa"/>
          </w:tcPr>
          <w:p w:rsidR="00204290" w:rsidRDefault="00351E21">
            <w:pPr>
              <w:contextualSpacing w:val="0"/>
            </w:pPr>
            <w:r>
              <w:rPr>
                <w:b/>
              </w:rPr>
              <w:t xml:space="preserve">Valor Bruto da Nota Fiscal: </w:t>
            </w:r>
          </w:p>
          <w:p w:rsidR="00204290" w:rsidRDefault="00204290">
            <w:pPr>
              <w:contextualSpacing w:val="0"/>
            </w:pPr>
          </w:p>
        </w:tc>
        <w:tc>
          <w:tcPr>
            <w:tcW w:w="4604" w:type="dxa"/>
          </w:tcPr>
          <w:p w:rsidR="00204290" w:rsidRDefault="00351E21">
            <w:pPr>
              <w:contextualSpacing w:val="0"/>
            </w:pPr>
            <w:r>
              <w:rPr>
                <w:b/>
              </w:rPr>
              <w:t xml:space="preserve">Nota Fiscal com Conta-Vinculada: </w:t>
            </w:r>
          </w:p>
          <w:p w:rsidR="00204290" w:rsidRDefault="00351E21">
            <w:pPr>
              <w:contextualSpacing w:val="0"/>
            </w:pPr>
            <w:proofErr w:type="gramStart"/>
            <w:r>
              <w:t>(</w:t>
            </w:r>
            <w:r w:rsidR="00E355B0">
              <w:rPr>
                <w:b/>
              </w:rPr>
              <w:t xml:space="preserve">   </w:t>
            </w:r>
            <w:proofErr w:type="gramEnd"/>
            <w:r>
              <w:t>) Sim    (   ) Não</w:t>
            </w:r>
            <w:r>
              <w:rPr>
                <w:b/>
              </w:rPr>
              <w:t xml:space="preserve">   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:rsidR="00204290" w:rsidRDefault="00351E21">
            <w:pPr>
              <w:contextualSpacing w:val="0"/>
            </w:pPr>
            <w:r>
              <w:rPr>
                <w:b/>
              </w:rPr>
              <w:t>Data de Emissão da NF:</w:t>
            </w:r>
          </w:p>
          <w:p w:rsidR="00204290" w:rsidRDefault="00204290">
            <w:pPr>
              <w:contextualSpacing w:val="0"/>
            </w:pPr>
          </w:p>
        </w:tc>
        <w:tc>
          <w:tcPr>
            <w:tcW w:w="2835" w:type="dxa"/>
          </w:tcPr>
          <w:p w:rsidR="00204290" w:rsidRDefault="00351E21">
            <w:pPr>
              <w:contextualSpacing w:val="0"/>
            </w:pPr>
            <w:r>
              <w:rPr>
                <w:b/>
              </w:rPr>
              <w:t>Data de Ateste da NF:</w:t>
            </w:r>
          </w:p>
          <w:p w:rsidR="00204290" w:rsidRDefault="00204290">
            <w:pPr>
              <w:contextualSpacing w:val="0"/>
            </w:pPr>
          </w:p>
        </w:tc>
        <w:tc>
          <w:tcPr>
            <w:tcW w:w="4604" w:type="dxa"/>
          </w:tcPr>
          <w:p w:rsidR="00204290" w:rsidRDefault="00351E21">
            <w:pPr>
              <w:contextualSpacing w:val="0"/>
            </w:pPr>
            <w:r>
              <w:rPr>
                <w:b/>
              </w:rPr>
              <w:t>Data em que foi entregue ao fiscal:</w:t>
            </w:r>
          </w:p>
          <w:p w:rsidR="00204290" w:rsidRDefault="00204290">
            <w:pPr>
              <w:contextualSpacing w:val="0"/>
            </w:pPr>
          </w:p>
        </w:tc>
      </w:tr>
    </w:tbl>
    <w:p w:rsidR="00204290" w:rsidRDefault="00204290">
      <w:pPr>
        <w:spacing w:after="0" w:line="240" w:lineRule="auto"/>
        <w:ind w:left="142"/>
        <w:jc w:val="center"/>
      </w:pPr>
    </w:p>
    <w:tbl>
      <w:tblPr>
        <w:tblStyle w:val="a3"/>
        <w:tblW w:w="9991" w:type="dxa"/>
        <w:tblInd w:w="-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649"/>
        <w:gridCol w:w="565"/>
        <w:gridCol w:w="777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1" w:type="dxa"/>
            <w:gridSpan w:val="3"/>
            <w:shd w:val="clear" w:color="auto" w:fill="C6D9F1"/>
          </w:tcPr>
          <w:p w:rsidR="00204290" w:rsidRDefault="00351E21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ORGANIZAÇÃO DO PROCESSO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9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Abertura de processo administrativo devidamente autuado.</w:t>
            </w:r>
          </w:p>
          <w:p w:rsidR="00204290" w:rsidRDefault="00351E21">
            <w:pPr>
              <w:tabs>
                <w:tab w:val="left" w:pos="313"/>
                <w:tab w:val="left" w:pos="463"/>
              </w:tabs>
              <w:spacing w:after="200" w:line="276" w:lineRule="auto"/>
              <w:ind w:right="138"/>
              <w:contextualSpacing w:val="0"/>
            </w:pPr>
            <w:r>
              <w:rPr>
                <w:sz w:val="18"/>
                <w:szCs w:val="18"/>
              </w:rPr>
              <w:t xml:space="preserve">   Abrir processo no </w:t>
            </w:r>
            <w:proofErr w:type="spellStart"/>
            <w:r>
              <w:rPr>
                <w:sz w:val="18"/>
                <w:szCs w:val="18"/>
              </w:rPr>
              <w:t>SUAP</w:t>
            </w:r>
            <w:proofErr w:type="spellEnd"/>
            <w:r>
              <w:rPr>
                <w:sz w:val="18"/>
                <w:szCs w:val="18"/>
              </w:rPr>
              <w:t xml:space="preserve"> com as seguintes informações:</w:t>
            </w:r>
          </w:p>
          <w:p w:rsidR="00204290" w:rsidRDefault="00351E21">
            <w:pPr>
              <w:ind w:left="117" w:right="138"/>
              <w:contextualSpacing w:val="0"/>
            </w:pPr>
            <w:r>
              <w:rPr>
                <w:b/>
                <w:sz w:val="18"/>
                <w:szCs w:val="18"/>
                <w:u w:val="single"/>
              </w:rPr>
              <w:t>Interessado:</w:t>
            </w:r>
            <w:r>
              <w:rPr>
                <w:sz w:val="18"/>
                <w:szCs w:val="18"/>
              </w:rPr>
              <w:t xml:space="preserve"> Razão Social da Empresa da NF</w:t>
            </w:r>
          </w:p>
          <w:p w:rsidR="00204290" w:rsidRDefault="00351E21">
            <w:pPr>
              <w:ind w:left="117" w:right="138"/>
              <w:contextualSpacing w:val="0"/>
            </w:pPr>
            <w:r>
              <w:rPr>
                <w:b/>
                <w:sz w:val="18"/>
                <w:szCs w:val="18"/>
                <w:u w:val="single"/>
              </w:rPr>
              <w:t>Número do documento:</w:t>
            </w:r>
            <w:r>
              <w:rPr>
                <w:sz w:val="18"/>
                <w:szCs w:val="18"/>
              </w:rPr>
              <w:t xml:space="preserve"> Colocar o número do processo original da contratação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u w:val="single"/>
              </w:rPr>
              <w:t>Assunto:</w:t>
            </w:r>
            <w:r>
              <w:rPr>
                <w:sz w:val="18"/>
                <w:szCs w:val="18"/>
              </w:rPr>
              <w:t xml:space="preserve"> Pagamento NOME DA EMPRESA (IDENTIFICAÇÃO DO CAMPUS) – MÊS/ANO – NF Nº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br/>
            </w:r>
            <w:r>
              <w:rPr>
                <w:i/>
                <w:color w:val="FF0000"/>
                <w:sz w:val="18"/>
                <w:szCs w:val="18"/>
              </w:rPr>
              <w:t xml:space="preserve">Exemplo: Pagamento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BLITZEM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(Campus Lucas do Rio Verde) – SETEMBRO/2015 – NF 398</w:t>
            </w:r>
          </w:p>
          <w:p w:rsidR="00204290" w:rsidRDefault="00351E21">
            <w:pPr>
              <w:ind w:left="117" w:right="138"/>
              <w:contextualSpacing w:val="0"/>
            </w:pPr>
            <w:r>
              <w:rPr>
                <w:b/>
                <w:sz w:val="18"/>
                <w:szCs w:val="18"/>
                <w:u w:val="single"/>
              </w:rPr>
              <w:t>Tipo:</w:t>
            </w:r>
            <w:r>
              <w:rPr>
                <w:sz w:val="18"/>
                <w:szCs w:val="18"/>
              </w:rPr>
              <w:t xml:space="preserve"> Requerimento</w:t>
            </w:r>
          </w:p>
          <w:p w:rsidR="00204290" w:rsidRDefault="00351E21">
            <w:pPr>
              <w:ind w:left="117" w:right="138"/>
              <w:contextualSpacing w:val="0"/>
            </w:pPr>
            <w:r>
              <w:rPr>
                <w:b/>
                <w:sz w:val="18"/>
                <w:szCs w:val="18"/>
                <w:u w:val="single"/>
              </w:rPr>
              <w:t>Palavras-chave:</w:t>
            </w:r>
            <w:r>
              <w:rPr>
                <w:sz w:val="18"/>
                <w:szCs w:val="18"/>
              </w:rPr>
              <w:t xml:space="preserve"> Nome da empresa, número do contrato, objeto da contratação, local da prestação do serviço; número do pregão.</w:t>
            </w:r>
          </w:p>
          <w:p w:rsidR="00204290" w:rsidRDefault="00351E21">
            <w:pPr>
              <w:ind w:left="117" w:right="138"/>
              <w:contextualSpacing w:val="0"/>
            </w:pPr>
            <w:r>
              <w:rPr>
                <w:i/>
                <w:color w:val="FF0000"/>
                <w:sz w:val="18"/>
                <w:szCs w:val="18"/>
              </w:rPr>
              <w:t xml:space="preserve">Exemplo: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BLITZEM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;</w:t>
            </w:r>
            <w:proofErr w:type="gramStart"/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proofErr w:type="gramEnd"/>
            <w:r>
              <w:rPr>
                <w:i/>
                <w:color w:val="FF0000"/>
                <w:sz w:val="18"/>
                <w:szCs w:val="18"/>
              </w:rPr>
              <w:t>Contrato 23/2015; Vigilância armada; Campus Avançado Lucas do Rio Verde; Pregão: 08/2015</w:t>
            </w:r>
          </w:p>
          <w:p w:rsidR="00204290" w:rsidRDefault="00351E21">
            <w:pPr>
              <w:ind w:left="117" w:right="138"/>
              <w:contextualSpacing w:val="0"/>
            </w:pPr>
            <w:r>
              <w:rPr>
                <w:b/>
                <w:sz w:val="18"/>
                <w:szCs w:val="18"/>
                <w:u w:val="single"/>
              </w:rPr>
              <w:t>Destino: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RTR-PROAD</w:t>
            </w:r>
            <w:proofErr w:type="spellEnd"/>
          </w:p>
          <w:p w:rsidR="00204290" w:rsidRDefault="00351E21">
            <w:pPr>
              <w:ind w:left="117" w:right="138"/>
              <w:contextualSpacing w:val="0"/>
              <w:jc w:val="both"/>
            </w:pPr>
            <w:r>
              <w:rPr>
                <w:b/>
                <w:color w:val="00B050"/>
                <w:sz w:val="18"/>
                <w:szCs w:val="18"/>
              </w:rPr>
              <w:t>ATENÇÃO FISCAL</w:t>
            </w:r>
            <w:r>
              <w:rPr>
                <w:color w:val="00B05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Essa etapa é de grande importância visto que processos abertos corretamente e com informações bem detalhadas cola</w:t>
            </w:r>
            <w:r>
              <w:rPr>
                <w:sz w:val="18"/>
                <w:szCs w:val="18"/>
              </w:rPr>
              <w:t>boram para a rápida localização do processo, em uma posterior necessidade, e uma gestão de contrato mais eficiente.</w:t>
            </w:r>
          </w:p>
          <w:p w:rsidR="00204290" w:rsidRDefault="00351E21">
            <w:pPr>
              <w:ind w:left="117" w:right="138"/>
              <w:contextualSpacing w:val="0"/>
              <w:jc w:val="both"/>
            </w:pPr>
            <w:r>
              <w:rPr>
                <w:b/>
                <w:sz w:val="18"/>
                <w:szCs w:val="18"/>
              </w:rPr>
              <w:t>Importante:</w:t>
            </w:r>
            <w:r>
              <w:rPr>
                <w:sz w:val="18"/>
                <w:szCs w:val="18"/>
              </w:rPr>
              <w:t xml:space="preserve"> Para cada nota fiscal é necessário que seja aberto um processo correspondente, em que conste toda a documentação referente àquele pagamento. Esse processo, após a conclusão, será anexado ao processo original da contratação.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:rsidR="00204290" w:rsidRDefault="00204290">
            <w:pPr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9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Ateste da Nota Fi</w:t>
            </w:r>
            <w:r>
              <w:rPr>
                <w:b/>
                <w:sz w:val="20"/>
                <w:szCs w:val="20"/>
              </w:rPr>
              <w:t>scal.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O fiscal do contrato deverá carimbar o </w:t>
            </w:r>
            <w:r>
              <w:rPr>
                <w:b/>
                <w:sz w:val="20"/>
                <w:szCs w:val="20"/>
                <w:u w:val="single"/>
              </w:rPr>
              <w:t>verso</w:t>
            </w:r>
            <w:r>
              <w:rPr>
                <w:sz w:val="20"/>
                <w:szCs w:val="20"/>
              </w:rPr>
              <w:t xml:space="preserve"> da Nota Fiscal com o carimbo específico de ateste, colocar a data, assinar, carimbar com seu carimbo institucional e logo baixo escrever </w:t>
            </w:r>
            <w:proofErr w:type="gramStart"/>
            <w:r>
              <w:rPr>
                <w:sz w:val="20"/>
                <w:szCs w:val="20"/>
              </w:rPr>
              <w:t xml:space="preserve">“ </w:t>
            </w:r>
            <w:proofErr w:type="gramEnd"/>
            <w:r>
              <w:rPr>
                <w:sz w:val="20"/>
                <w:szCs w:val="20"/>
              </w:rPr>
              <w:t xml:space="preserve">Fiscal do Contrato nº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>
              <w:rPr>
                <w:sz w:val="20"/>
                <w:szCs w:val="20"/>
              </w:rPr>
              <w:t>” juntamente com o número da portaria</w:t>
            </w:r>
            <w:r>
              <w:rPr>
                <w:sz w:val="20"/>
                <w:szCs w:val="20"/>
              </w:rPr>
              <w:t xml:space="preserve"> que o designou para a função.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i/>
                <w:color w:val="FF0000"/>
                <w:sz w:val="18"/>
                <w:szCs w:val="18"/>
              </w:rPr>
              <w:t xml:space="preserve">Exemplo: </w:t>
            </w:r>
          </w:p>
          <w:p w:rsidR="00204290" w:rsidRDefault="00351E21">
            <w:pPr>
              <w:ind w:left="83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 wp14:anchorId="533E298D" wp14:editId="12CCFA97">
                  <wp:extent cx="1791522" cy="919468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l="70485" t="33411" r="20262" b="49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22" cy="919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04290" w:rsidRDefault="00351E21">
            <w:pPr>
              <w:spacing w:line="276" w:lineRule="auto"/>
              <w:ind w:left="142"/>
              <w:contextualSpacing w:val="0"/>
              <w:jc w:val="center"/>
            </w:pPr>
            <w:proofErr w:type="spellStart"/>
            <w:r>
              <w:rPr>
                <w:sz w:val="18"/>
                <w:szCs w:val="18"/>
              </w:rPr>
              <w:t>Fulado</w:t>
            </w:r>
            <w:proofErr w:type="spellEnd"/>
            <w:r>
              <w:rPr>
                <w:sz w:val="18"/>
                <w:szCs w:val="18"/>
              </w:rPr>
              <w:t xml:space="preserve"> de Tal</w:t>
            </w:r>
          </w:p>
          <w:p w:rsidR="00204290" w:rsidRDefault="00351E21">
            <w:pPr>
              <w:ind w:left="142"/>
              <w:contextualSpacing w:val="0"/>
              <w:jc w:val="center"/>
            </w:pPr>
            <w:r>
              <w:rPr>
                <w:sz w:val="18"/>
                <w:szCs w:val="18"/>
              </w:rPr>
              <w:t>Assistente em Administração</w:t>
            </w:r>
          </w:p>
          <w:p w:rsidR="00204290" w:rsidRDefault="00351E21">
            <w:pPr>
              <w:ind w:left="142"/>
              <w:contextualSpacing w:val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Matricula </w:t>
            </w:r>
            <w:proofErr w:type="spellStart"/>
            <w:r>
              <w:rPr>
                <w:sz w:val="18"/>
                <w:szCs w:val="18"/>
              </w:rPr>
              <w:t>SIAPE</w:t>
            </w:r>
            <w:proofErr w:type="spellEnd"/>
            <w:r>
              <w:rPr>
                <w:sz w:val="18"/>
                <w:szCs w:val="18"/>
              </w:rPr>
              <w:t xml:space="preserve"> nº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  <w:p w:rsidR="00204290" w:rsidRDefault="00351E21">
            <w:pPr>
              <w:ind w:left="142"/>
              <w:contextualSpacing w:val="0"/>
              <w:jc w:val="center"/>
            </w:pPr>
            <w:r>
              <w:rPr>
                <w:sz w:val="18"/>
                <w:szCs w:val="18"/>
              </w:rPr>
              <w:t xml:space="preserve">Fiscal do Contrato nº </w:t>
            </w: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  <w:p w:rsidR="00204290" w:rsidRDefault="00351E21">
            <w:pPr>
              <w:ind w:left="142"/>
              <w:contextualSpacing w:val="0"/>
              <w:jc w:val="center"/>
            </w:pPr>
            <w:r>
              <w:rPr>
                <w:sz w:val="18"/>
                <w:szCs w:val="18"/>
              </w:rPr>
              <w:t xml:space="preserve">Portaria nº de </w:t>
            </w: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  <w:p w:rsidR="00204290" w:rsidRDefault="00204290">
            <w:pPr>
              <w:ind w:left="83"/>
              <w:contextualSpacing w:val="0"/>
              <w:jc w:val="center"/>
            </w:pP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b/>
                <w:color w:val="00B050"/>
                <w:sz w:val="18"/>
                <w:szCs w:val="18"/>
              </w:rPr>
              <w:t>ATENÇÃO FISCAL</w:t>
            </w:r>
            <w:r>
              <w:rPr>
                <w:sz w:val="20"/>
                <w:szCs w:val="20"/>
              </w:rPr>
              <w:t>: É indispensável que todos esses dados estejam presentes no ateste. Não é permitido qualquer tipo de rasura nesses campos.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b/>
                <w:sz w:val="20"/>
                <w:szCs w:val="20"/>
              </w:rPr>
              <w:t>Importante:</w:t>
            </w:r>
            <w:r>
              <w:rPr>
                <w:sz w:val="20"/>
                <w:szCs w:val="20"/>
              </w:rPr>
              <w:t xml:space="preserve"> Fique atento à data de ateste! Em nenhuma hipótese é permitido que a data de ateste </w:t>
            </w:r>
            <w:proofErr w:type="gramStart"/>
            <w:r>
              <w:rPr>
                <w:sz w:val="20"/>
                <w:szCs w:val="20"/>
              </w:rPr>
              <w:t>seja</w:t>
            </w:r>
            <w:proofErr w:type="gramEnd"/>
            <w:r>
              <w:rPr>
                <w:sz w:val="20"/>
                <w:szCs w:val="20"/>
              </w:rPr>
              <w:t xml:space="preserve"> inferior à data de emissão da n</w:t>
            </w:r>
            <w:r>
              <w:rPr>
                <w:sz w:val="20"/>
                <w:szCs w:val="20"/>
              </w:rPr>
              <w:t>ota fiscal.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lastRenderedPageBreak/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9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lastRenderedPageBreak/>
              <w:t>Paginação do processo.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Todas as folhas do processo que o fiscal abriu deverão estar devidamente carimbadas com o carimbo de paginação e o “em branco” nos versos das folhas, se for o caso.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Os carimbos utilizados deverão ser aqueles padronizados por meio do Manual de Procedimentos de Protocolo do IFMT (Resolução </w:t>
            </w:r>
            <w:proofErr w:type="spellStart"/>
            <w:r>
              <w:rPr>
                <w:sz w:val="20"/>
                <w:szCs w:val="20"/>
              </w:rPr>
              <w:t>Consup</w:t>
            </w:r>
            <w:proofErr w:type="spellEnd"/>
            <w:r>
              <w:rPr>
                <w:sz w:val="20"/>
                <w:szCs w:val="20"/>
              </w:rPr>
              <w:t xml:space="preserve"> nº 094/2014)</w:t>
            </w:r>
          </w:p>
          <w:p w:rsidR="00204290" w:rsidRDefault="00204290">
            <w:pPr>
              <w:ind w:left="83"/>
              <w:contextualSpacing w:val="0"/>
              <w:jc w:val="both"/>
            </w:pPr>
          </w:p>
          <w:p w:rsidR="00204290" w:rsidRDefault="00351E21">
            <w:pPr>
              <w:ind w:left="149" w:right="138"/>
              <w:contextualSpacing w:val="0"/>
              <w:jc w:val="both"/>
            </w:pPr>
            <w:r>
              <w:rPr>
                <w:b/>
                <w:color w:val="00B050"/>
                <w:sz w:val="18"/>
                <w:szCs w:val="18"/>
              </w:rPr>
              <w:t>ATENÇÃO FISCAL</w:t>
            </w:r>
            <w:r>
              <w:rPr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FF0000"/>
                <w:sz w:val="18"/>
                <w:szCs w:val="18"/>
              </w:rPr>
              <w:t>NÃO NUMERE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folhas do processo acessório, visto que esse processo será anexado e deverá segui</w:t>
            </w:r>
            <w:r>
              <w:rPr>
                <w:sz w:val="18"/>
                <w:szCs w:val="18"/>
              </w:rPr>
              <w:t>r a numeração do processo original.</w:t>
            </w:r>
          </w:p>
          <w:p w:rsidR="00204290" w:rsidRDefault="00351E21">
            <w:pPr>
              <w:ind w:left="149" w:right="138"/>
              <w:contextualSpacing w:val="0"/>
              <w:jc w:val="both"/>
            </w:pPr>
            <w:r>
              <w:rPr>
                <w:b/>
                <w:sz w:val="18"/>
                <w:szCs w:val="18"/>
              </w:rPr>
              <w:t>Importante:</w:t>
            </w:r>
            <w:r>
              <w:rPr>
                <w:sz w:val="18"/>
                <w:szCs w:val="18"/>
              </w:rPr>
              <w:t xml:space="preserve"> Serão imediatamente devolvidos ou não recebidos os processos que não estiverem corretamente carimbados.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9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Perfuração do processo.</w:t>
            </w:r>
          </w:p>
          <w:p w:rsidR="00204290" w:rsidRDefault="00351E21">
            <w:pPr>
              <w:tabs>
                <w:tab w:val="left" w:pos="432"/>
              </w:tabs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Juntar todas das folhas e perfurar a lateral com o perfurador de dois furos.</w:t>
            </w:r>
            <w:r>
              <w:rPr>
                <w:sz w:val="20"/>
                <w:szCs w:val="20"/>
              </w:rPr>
              <w:br/>
              <w:t>Após, colocar um colchete de papel em cada furo.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204290" w:rsidRPr="00E355B0" w:rsidRDefault="00204290">
      <w:pPr>
        <w:spacing w:after="0"/>
        <w:rPr>
          <w:sz w:val="16"/>
          <w:szCs w:val="16"/>
        </w:rPr>
      </w:pPr>
    </w:p>
    <w:tbl>
      <w:tblPr>
        <w:tblStyle w:val="a4"/>
        <w:tblW w:w="9990" w:type="dxa"/>
        <w:tblInd w:w="-9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567"/>
        <w:gridCol w:w="775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3"/>
            <w:shd w:val="clear" w:color="auto" w:fill="FDEADA"/>
          </w:tcPr>
          <w:p w:rsidR="00204290" w:rsidRDefault="00351E21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ANÁLISE DA EXECUÇÃO DO CONTRATO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8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after="200"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O contrato ainda estava vigente durante a execução do serviço?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8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after="200"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O período da prestação de serviços é correspondente ao mês anterior ao da fatura?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8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 xml:space="preserve"> Os empregados est</w:t>
            </w:r>
            <w:r>
              <w:rPr>
                <w:b/>
                <w:sz w:val="20"/>
                <w:szCs w:val="20"/>
              </w:rPr>
              <w:t>iv</w:t>
            </w:r>
            <w:r>
              <w:rPr>
                <w:b/>
                <w:sz w:val="20"/>
                <w:szCs w:val="20"/>
              </w:rPr>
              <w:t>eram presentes em todos os dias de trabalho?</w:t>
            </w:r>
          </w:p>
          <w:p w:rsidR="00204290" w:rsidRDefault="00351E21">
            <w:pPr>
              <w:tabs>
                <w:tab w:val="left" w:pos="432"/>
              </w:tabs>
              <w:spacing w:line="276" w:lineRule="auto"/>
              <w:contextualSpacing w:val="0"/>
            </w:pPr>
            <w:r>
              <w:rPr>
                <w:sz w:val="20"/>
                <w:szCs w:val="20"/>
              </w:rPr>
              <w:t>Em caso de faltas, insira nos autos relatório e notificações a respeito.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8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Os salários foram pagos até o 5º dia útil do mês subsequente ao vencido?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Em caso de não, insira nos autos relatório e notificações a respeito.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204290" w:rsidRPr="00E355B0" w:rsidRDefault="0020429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5"/>
        <w:tblW w:w="9991" w:type="dxa"/>
        <w:tblInd w:w="-9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567"/>
        <w:gridCol w:w="777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1" w:type="dxa"/>
            <w:gridSpan w:val="3"/>
            <w:shd w:val="clear" w:color="auto" w:fill="C2D69B"/>
          </w:tcPr>
          <w:p w:rsidR="00204290" w:rsidRDefault="00351E21">
            <w:pPr>
              <w:contextualSpacing w:val="0"/>
              <w:jc w:val="center"/>
            </w:pPr>
            <w:r>
              <w:rPr>
                <w:b/>
                <w:sz w:val="28"/>
                <w:szCs w:val="28"/>
                <w:shd w:val="clear" w:color="auto" w:fill="C2D69B"/>
              </w:rPr>
              <w:t>ANÁLISE DA DOCUMENTAÇÃO OBRIGATÓRIA</w:t>
            </w:r>
          </w:p>
          <w:p w:rsidR="00204290" w:rsidRDefault="00351E21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documentação deverá ser do mês anterior ao de competência do qual o serviço foi prestado. </w:t>
            </w:r>
          </w:p>
          <w:p w:rsidR="00204290" w:rsidRDefault="00351E21">
            <w:pPr>
              <w:contextualSpacing w:val="0"/>
              <w:jc w:val="both"/>
            </w:pPr>
            <w:r>
              <w:rPr>
                <w:i/>
                <w:color w:val="FF0000"/>
                <w:sz w:val="18"/>
                <w:szCs w:val="18"/>
              </w:rPr>
              <w:t>Exemplo: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se a nota fiscal foi emitida no dia 01/03 referente a serviços prestados no mês de fevereiro, deverá ser encaminhada a documentação do mês de referência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aneiro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1" w:type="dxa"/>
            <w:gridSpan w:val="3"/>
            <w:shd w:val="clear" w:color="auto" w:fill="EBF1DD"/>
          </w:tcPr>
          <w:p w:rsidR="00204290" w:rsidRDefault="00351E21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Segue relação de documentação obrigatória da mão de obra diretamente envolvida na execução dos serviços: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 xml:space="preserve"> Comprovante de frequência dos funcionários;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Analisar se está assinado pelo respectivo empregado e se é da competência correta.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291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Contracheque</w:t>
            </w:r>
            <w:r>
              <w:rPr>
                <w:b/>
                <w:sz w:val="20"/>
                <w:szCs w:val="20"/>
              </w:rPr>
              <w:t xml:space="preserve"> de todos os empregados;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Deverá estar assinado pelo respectivo empregado.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Comprovante de pagamentos de salários (depósito em conta corrente);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O Comprovante de depósito deverá ser em conta bancária aberta para esse fim em nome de cada empregado. O valor depositado deverá ser o mesmo do contracheque do empregado.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Comprovante de concessão de vale-transporte;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O Vale-Transporte constitui</w:t>
            </w:r>
            <w:r>
              <w:rPr>
                <w:sz w:val="20"/>
                <w:szCs w:val="20"/>
              </w:rPr>
              <w:t xml:space="preserve"> benefício que o empregador antecipará ao trabalhador para utilização efetiva em despesas de deslocamento residência-trabalho e vice-versa. É vedado ao empregador substituir o Vale-Transporte por antecipação em dinheiro ou qualquer outra forma de pagamento</w:t>
            </w:r>
            <w:r>
              <w:rPr>
                <w:sz w:val="20"/>
                <w:szCs w:val="20"/>
              </w:rPr>
              <w:t>, ressalvado o disposto no parágrafo único do artigo 5º do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Decreto Nº 95.247. Portanto a empresa deverá apresentar um comprovante de que concedeu o vale-transporte por meio do cartão do </w:t>
            </w:r>
            <w:proofErr w:type="spellStart"/>
            <w:r>
              <w:rPr>
                <w:sz w:val="20"/>
                <w:szCs w:val="20"/>
              </w:rPr>
              <w:t>MTU</w:t>
            </w:r>
            <w:proofErr w:type="spellEnd"/>
            <w:r>
              <w:rPr>
                <w:sz w:val="20"/>
                <w:szCs w:val="20"/>
              </w:rPr>
              <w:t xml:space="preserve"> ou a forma vigente no município.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:rsidR="00204290" w:rsidRDefault="00204290">
            <w:pPr>
              <w:contextualSpacing w:val="0"/>
            </w:pPr>
          </w:p>
          <w:p w:rsidR="00204290" w:rsidRDefault="00204290">
            <w:pPr>
              <w:contextualSpacing w:val="0"/>
            </w:pPr>
          </w:p>
          <w:p w:rsidR="00204290" w:rsidRDefault="00204290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Comprovante de concessão de alimentação;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lastRenderedPageBreak/>
              <w:t>As empresas fornecerão antecipadamente Auxílio-alimentação ao trabalhador que laborar em carga horária igual ou superior a 7.20 (sete horas e vinte minutos) horas diárias, os quais farão jus ao Auxílio-alimentação n</w:t>
            </w:r>
            <w:r>
              <w:rPr>
                <w:sz w:val="20"/>
                <w:szCs w:val="20"/>
              </w:rPr>
              <w:t>o valor facial de R$ 12,00 (Doze reais) por dia efetivamente trabalhado.</w:t>
            </w:r>
          </w:p>
          <w:p w:rsidR="00204290" w:rsidRDefault="00204290">
            <w:pPr>
              <w:ind w:left="149" w:right="190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lastRenderedPageBreak/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lastRenderedPageBreak/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lastRenderedPageBreak/>
              <w:t>Comprovante de pagamento de Prêmio Cesta Básica;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Conforme </w:t>
            </w:r>
            <w:proofErr w:type="spellStart"/>
            <w:r>
              <w:rPr>
                <w:sz w:val="20"/>
                <w:szCs w:val="20"/>
              </w:rPr>
              <w:t>CCT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copeiragem</w:t>
            </w:r>
            <w:proofErr w:type="spellEnd"/>
            <w:r>
              <w:rPr>
                <w:sz w:val="20"/>
                <w:szCs w:val="20"/>
              </w:rPr>
              <w:t xml:space="preserve">, Cláusula 13º, § 1º, o valor do prêmio será de R$ 100,00 (cem reais) por mês e deverá ser entregue até o dia 20 do mês </w:t>
            </w:r>
            <w:proofErr w:type="spellStart"/>
            <w:r>
              <w:rPr>
                <w:sz w:val="20"/>
                <w:szCs w:val="20"/>
              </w:rPr>
              <w:t>subseqüente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04290" w:rsidRDefault="00204290">
            <w:pPr>
              <w:ind w:left="149" w:right="138"/>
              <w:contextualSpacing w:val="0"/>
              <w:jc w:val="both"/>
            </w:pPr>
          </w:p>
          <w:p w:rsidR="00204290" w:rsidRDefault="00351E21">
            <w:pPr>
              <w:ind w:left="149" w:right="138"/>
              <w:contextualSpacing w:val="0"/>
              <w:jc w:val="both"/>
            </w:pPr>
            <w:r>
              <w:rPr>
                <w:b/>
                <w:color w:val="00B050"/>
                <w:sz w:val="18"/>
                <w:szCs w:val="18"/>
              </w:rPr>
              <w:t>ATENÇÃO FISCAL</w:t>
            </w:r>
            <w:r>
              <w:rPr>
                <w:color w:val="00B05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Adequar à CONVENÇÃO COLETIVA DE TRABALHO do tipo de serviço do seu contrato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vMerge w:val="restart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Comprovante de pagamento de férias</w:t>
            </w:r>
            <w:proofErr w:type="gramStart"/>
            <w:r>
              <w:rPr>
                <w:b/>
                <w:sz w:val="20"/>
                <w:szCs w:val="20"/>
              </w:rPr>
              <w:t>, se for</w:t>
            </w:r>
            <w:proofErr w:type="gramEnd"/>
            <w:r>
              <w:rPr>
                <w:b/>
                <w:sz w:val="20"/>
                <w:szCs w:val="20"/>
              </w:rPr>
              <w:t xml:space="preserve"> o caso;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O pagamento das férias, do adicional de 1/3 (um terço) constitucional e do abono pecuniário deverá ser feito até dois dias antes do início do período de férias. Neste momento, o empregado dará quitação do pagamento, em recibo, no qual deverão constar as da</w:t>
            </w:r>
            <w:r>
              <w:rPr>
                <w:sz w:val="20"/>
                <w:szCs w:val="20"/>
              </w:rPr>
              <w:t>tas de início e término do respectivo período.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vMerge/>
          </w:tcPr>
          <w:p w:rsidR="00204290" w:rsidRDefault="00204290">
            <w:pPr>
              <w:tabs>
                <w:tab w:val="left" w:pos="432"/>
              </w:tabs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gridSpan w:val="2"/>
          </w:tcPr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Não se aplica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vMerge w:val="restart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Comprovante de pagamento de verbas rescisórias</w:t>
            </w:r>
            <w:proofErr w:type="gramStart"/>
            <w:r>
              <w:rPr>
                <w:b/>
                <w:sz w:val="20"/>
                <w:szCs w:val="20"/>
              </w:rPr>
              <w:t>, se for</w:t>
            </w:r>
            <w:proofErr w:type="gramEnd"/>
            <w:r>
              <w:rPr>
                <w:b/>
                <w:sz w:val="20"/>
                <w:szCs w:val="20"/>
              </w:rPr>
              <w:t xml:space="preserve"> o caso;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O pagamento das parcelas constantes do instrumento de rescisão ou recibo de quitação deverá ser efetuado nos seguintes prazos: Até o primeiro dia útil imediato ao término do contrato; Até o décimo dia, contado da data da notificação da demissão, quando da </w:t>
            </w:r>
            <w:r>
              <w:rPr>
                <w:sz w:val="20"/>
                <w:szCs w:val="20"/>
              </w:rPr>
              <w:t xml:space="preserve">ausência de </w:t>
            </w:r>
            <w:hyperlink r:id="rId11">
              <w:r>
                <w:rPr>
                  <w:sz w:val="20"/>
                  <w:szCs w:val="20"/>
                </w:rPr>
                <w:t>aviso prévio</w:t>
              </w:r>
            </w:hyperlink>
            <w:r>
              <w:rPr>
                <w:sz w:val="20"/>
                <w:szCs w:val="20"/>
              </w:rPr>
              <w:t>, indenização do mesmo ou dispensa de seu cumprimento.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vMerge/>
          </w:tcPr>
          <w:p w:rsidR="00204290" w:rsidRDefault="00204290">
            <w:pPr>
              <w:tabs>
                <w:tab w:val="left" w:pos="432"/>
              </w:tabs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gridSpan w:val="2"/>
          </w:tcPr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Não se aplica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Comprovante de Declaração das Contribuições a Recolher à Previdência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Analisar se é da competência correta. O Número do Arquivo do Relatório </w:t>
            </w:r>
            <w:proofErr w:type="spellStart"/>
            <w:r>
              <w:rPr>
                <w:sz w:val="20"/>
                <w:szCs w:val="20"/>
              </w:rPr>
              <w:t>SEFIP</w:t>
            </w:r>
            <w:proofErr w:type="spellEnd"/>
            <w:r>
              <w:rPr>
                <w:sz w:val="20"/>
                <w:szCs w:val="20"/>
              </w:rPr>
              <w:t xml:space="preserve"> tem que coincidir com o Número do Protocolo de Envio de Arquivos da Conectividade Social.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432" w:hanging="283"/>
            </w:pPr>
            <w:r>
              <w:rPr>
                <w:b/>
                <w:sz w:val="20"/>
                <w:szCs w:val="20"/>
              </w:rPr>
              <w:t>Protocolo de envio de arquivos, emitido pela Conectividade Social (</w:t>
            </w:r>
            <w:proofErr w:type="spellStart"/>
            <w:r>
              <w:rPr>
                <w:b/>
                <w:sz w:val="20"/>
                <w:szCs w:val="20"/>
              </w:rPr>
              <w:t>GFIP</w:t>
            </w:r>
            <w:proofErr w:type="spellEnd"/>
            <w:r>
              <w:rPr>
                <w:b/>
                <w:sz w:val="20"/>
                <w:szCs w:val="20"/>
              </w:rPr>
              <w:t>);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nalisar se é da competência correta. O Número do Protocolo de Envio de Arquivos da Conectividade Social tem que coincidir com o nº Arquivo do Relatório </w:t>
            </w:r>
            <w:proofErr w:type="spellStart"/>
            <w:r>
              <w:rPr>
                <w:sz w:val="20"/>
                <w:szCs w:val="20"/>
              </w:rPr>
              <w:t>SEFIP</w:t>
            </w:r>
            <w:proofErr w:type="spellEnd"/>
            <w:r>
              <w:rPr>
                <w:sz w:val="20"/>
                <w:szCs w:val="20"/>
              </w:rPr>
              <w:t>. Analisar se é da competência correta.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 xml:space="preserve">Cópia da Relação dos Trabalhadores Constantes do Arquivo </w:t>
            </w:r>
            <w:proofErr w:type="spellStart"/>
            <w:r>
              <w:rPr>
                <w:b/>
                <w:sz w:val="20"/>
                <w:szCs w:val="20"/>
              </w:rPr>
              <w:t>SEFIP</w:t>
            </w:r>
            <w:proofErr w:type="spellEnd"/>
            <w:r>
              <w:rPr>
                <w:b/>
                <w:sz w:val="20"/>
                <w:szCs w:val="20"/>
              </w:rPr>
              <w:t xml:space="preserve"> (RE);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Analisar se os empregados do contrato estão na Relação dos Trabalhadores da </w:t>
            </w:r>
            <w:proofErr w:type="spellStart"/>
            <w:r>
              <w:rPr>
                <w:sz w:val="20"/>
                <w:szCs w:val="20"/>
              </w:rPr>
              <w:t>SEFIP</w:t>
            </w:r>
            <w:proofErr w:type="spellEnd"/>
            <w:r>
              <w:rPr>
                <w:sz w:val="20"/>
                <w:szCs w:val="20"/>
              </w:rPr>
              <w:t xml:space="preserve">. Analisar se o valor destacado na RE é o </w:t>
            </w:r>
            <w:proofErr w:type="spellStart"/>
            <w:proofErr w:type="gramStart"/>
            <w:r>
              <w:rPr>
                <w:sz w:val="20"/>
                <w:szCs w:val="20"/>
              </w:rPr>
              <w:t>mesmo“</w:t>
            </w:r>
            <w:proofErr w:type="gramEnd"/>
            <w:r>
              <w:rPr>
                <w:sz w:val="20"/>
                <w:szCs w:val="20"/>
              </w:rPr>
              <w:t>Base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>. FGTS”. Analisar se é da competência correta.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firstLine="0"/>
              <w:jc w:val="both"/>
            </w:pPr>
            <w:r>
              <w:rPr>
                <w:b/>
                <w:sz w:val="20"/>
                <w:szCs w:val="20"/>
              </w:rPr>
              <w:t>Cópia da Relação de Tomadores/Obras (</w:t>
            </w:r>
            <w:proofErr w:type="spellStart"/>
            <w:r>
              <w:rPr>
                <w:b/>
                <w:sz w:val="20"/>
                <w:szCs w:val="20"/>
              </w:rPr>
              <w:t>RET</w:t>
            </w:r>
            <w:proofErr w:type="spellEnd"/>
            <w:r>
              <w:rPr>
                <w:b/>
                <w:sz w:val="20"/>
                <w:szCs w:val="20"/>
              </w:rPr>
              <w:t>);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Somente quando se tratar de </w:t>
            </w:r>
            <w:proofErr w:type="spellStart"/>
            <w:r>
              <w:rPr>
                <w:sz w:val="20"/>
                <w:szCs w:val="20"/>
              </w:rPr>
              <w:t>GFIP</w:t>
            </w:r>
            <w:proofErr w:type="spellEnd"/>
            <w:r>
              <w:rPr>
                <w:sz w:val="20"/>
                <w:szCs w:val="20"/>
              </w:rPr>
              <w:t xml:space="preserve"> por tomadores – códigos de recolhimento 130, 150, 155, 317, 337, 608, 907, 908, 909, 910 e 911; Conferir o Código de Recolhimento no “Comprovante de Declaração das Con</w:t>
            </w:r>
            <w:r>
              <w:rPr>
                <w:sz w:val="20"/>
                <w:szCs w:val="20"/>
              </w:rPr>
              <w:t>tribuições a Recolher à Previdência</w:t>
            </w:r>
            <w:proofErr w:type="gramStart"/>
            <w:r>
              <w:rPr>
                <w:sz w:val="20"/>
                <w:szCs w:val="20"/>
              </w:rPr>
              <w:t>”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gridSpan w:val="2"/>
          </w:tcPr>
          <w:p w:rsidR="00204290" w:rsidRDefault="00204290">
            <w:pPr>
              <w:contextualSpacing w:val="0"/>
              <w:jc w:val="center"/>
            </w:pP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>Guia de Recolhimento do FGTS (</w:t>
            </w:r>
            <w:proofErr w:type="spellStart"/>
            <w:r>
              <w:rPr>
                <w:b/>
                <w:sz w:val="20"/>
                <w:szCs w:val="20"/>
              </w:rPr>
              <w:t>GRF</w:t>
            </w:r>
            <w:proofErr w:type="spellEnd"/>
            <w:r>
              <w:rPr>
                <w:b/>
                <w:sz w:val="20"/>
                <w:szCs w:val="20"/>
              </w:rPr>
              <w:t>) com autenticação mecânica ou acompanhada do comprovante de recolhimento bancário ou comprovante emitido quando o recolhimento for efetuado pela internet;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Analisar se é da competência correta. O recolhimento do FGTS deve ser realizado até o dia 7 do mês seguinte àquele em que a remuneração foi paga, creditada ou se tornou devida ao trabalhador. Caso o dia de vencimento seja coincidente com dia não útil ou úl</w:t>
            </w:r>
            <w:r>
              <w:rPr>
                <w:sz w:val="20"/>
                <w:szCs w:val="20"/>
              </w:rPr>
              <w:t>timo dia útil do ano, o recolhimento deverá ser antecipado para o primeiro dia útil imediatamente anterior. Importante: Para efeito de vencimento, considera-se como dia não útil o sábado, o domingo e todo aquele constante no Calendário Nacional de feriados</w:t>
            </w:r>
            <w:r>
              <w:rPr>
                <w:sz w:val="20"/>
                <w:szCs w:val="20"/>
              </w:rPr>
              <w:t xml:space="preserve"> bancários, divulgados pelo Banco Central do Brasil - BACEN.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>Cópia da Guia da Previdência Social (GPS) com autenticação mecânica ou acompanhada do comprovante de recolhimento bancário ou comprovante emitido quando o recolhimento for efetuado pela internet;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Analisar se é da competência correta. O pagamento deverá oco</w:t>
            </w:r>
            <w:r>
              <w:rPr>
                <w:sz w:val="20"/>
                <w:szCs w:val="20"/>
              </w:rPr>
              <w:t>rrer no máximo até dia 20 de cada mês.</w:t>
            </w:r>
          </w:p>
          <w:p w:rsidR="00204290" w:rsidRDefault="00204290">
            <w:pPr>
              <w:ind w:right="190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firstLine="0"/>
              <w:jc w:val="both"/>
            </w:pPr>
            <w:r>
              <w:rPr>
                <w:b/>
                <w:sz w:val="20"/>
                <w:szCs w:val="20"/>
              </w:rPr>
              <w:t>Certidão Negativa de Débitos Trabalhistas (</w:t>
            </w:r>
            <w:proofErr w:type="spellStart"/>
            <w:r>
              <w:rPr>
                <w:b/>
                <w:sz w:val="20"/>
                <w:szCs w:val="20"/>
              </w:rPr>
              <w:t>CNDT</w:t>
            </w:r>
            <w:proofErr w:type="spellEnd"/>
            <w:r>
              <w:rPr>
                <w:b/>
                <w:sz w:val="20"/>
                <w:szCs w:val="20"/>
              </w:rPr>
              <w:t>);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Em cumprimento à Lei nº 12.440/2011 e à Resolução Administrativa TST nº 1470/2011, a Justiça do Trabalho emite, a partir de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de janeiro de 2012, documento indispensável à participação em licitações públicas.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firstLine="0"/>
              <w:jc w:val="both"/>
            </w:pPr>
            <w:r>
              <w:rPr>
                <w:b/>
                <w:sz w:val="20"/>
                <w:szCs w:val="20"/>
              </w:rPr>
              <w:lastRenderedPageBreak/>
              <w:t>Certificado de Regularidade de FGT</w:t>
            </w:r>
            <w:r>
              <w:rPr>
                <w:b/>
                <w:sz w:val="20"/>
                <w:szCs w:val="20"/>
              </w:rPr>
              <w:t>S (CRF)</w:t>
            </w:r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Permanecer regular perante o FGTS é condição obrigatória para que o empregador possa relacionar-se com os órgãos da Administração Pública e com instituições oficiais de crédito.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hyperlink r:id="rId12">
              <w:r>
                <w:rPr>
                  <w:b/>
                  <w:sz w:val="20"/>
                  <w:szCs w:val="20"/>
                </w:rPr>
                <w:t>Certidão Conjunta Negativa de Débitos Relativos aos Tributos Federais e à Dívida Ativa da União</w:t>
              </w:r>
            </w:hyperlink>
            <w:hyperlink r:id="rId13"/>
          </w:p>
          <w:p w:rsidR="00204290" w:rsidRDefault="00351E21">
            <w:pPr>
              <w:ind w:left="149" w:right="190"/>
              <w:contextualSpacing w:val="0"/>
              <w:jc w:val="both"/>
            </w:pPr>
            <w:r>
              <w:rPr>
                <w:sz w:val="20"/>
                <w:szCs w:val="20"/>
              </w:rPr>
              <w:t>Trata-se de certidão que deverá ser emitida para verificar a regularidade fiscal do sujeito passivo quanto aos tributos administrados pela Secretaria da Receita Federal</w:t>
            </w:r>
            <w:r>
              <w:rPr>
                <w:sz w:val="20"/>
                <w:szCs w:val="20"/>
              </w:rPr>
              <w:t xml:space="preserve"> do Brasil - </w:t>
            </w:r>
            <w:proofErr w:type="spellStart"/>
            <w:r>
              <w:rPr>
                <w:sz w:val="20"/>
                <w:szCs w:val="20"/>
              </w:rPr>
              <w:t>RFB</w:t>
            </w:r>
            <w:proofErr w:type="spellEnd"/>
            <w:r>
              <w:rPr>
                <w:sz w:val="20"/>
                <w:szCs w:val="20"/>
              </w:rPr>
              <w:t xml:space="preserve"> e quanto à Dívida Ativa da União administrada pela Procuradoria Geral da Fazenda Nacional - </w:t>
            </w:r>
            <w:proofErr w:type="spellStart"/>
            <w:r>
              <w:rPr>
                <w:sz w:val="20"/>
                <w:szCs w:val="20"/>
              </w:rPr>
              <w:t>PGFN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204290" w:rsidRPr="00E355B0" w:rsidRDefault="00204290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9991" w:type="dxa"/>
        <w:tblInd w:w="-9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567"/>
        <w:gridCol w:w="777"/>
      </w:tblGrid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1" w:type="dxa"/>
            <w:gridSpan w:val="3"/>
            <w:shd w:val="clear" w:color="auto" w:fill="B2A1C7"/>
          </w:tcPr>
          <w:p w:rsidR="00204290" w:rsidRDefault="00351E21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ANÁLISE DA NOTA FISCAL E CONTINGENCIAMENTO DE ENCARGOS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after="200"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>Valor da Nota Fiscal corresponde ao valor contratual mensal?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after="200"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>O CNPJ da contratada contido na Nota Fiscal é o mesmo que consta no Contrato?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>A data de emissão da Nota Fiscal está correta?</w:t>
            </w:r>
          </w:p>
          <w:p w:rsidR="00204290" w:rsidRDefault="00351E21">
            <w:pPr>
              <w:ind w:left="83" w:right="188"/>
              <w:contextualSpacing w:val="0"/>
              <w:jc w:val="both"/>
            </w:pPr>
            <w:r>
              <w:rPr>
                <w:b/>
                <w:color w:val="00B050"/>
                <w:sz w:val="18"/>
                <w:szCs w:val="18"/>
              </w:rPr>
              <w:t>ATENÇÃO FISCAL</w:t>
            </w:r>
            <w:r>
              <w:rPr>
                <w:color w:val="00B05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Quando envolver mão de obra, a data da emissão da Nota Fiscal sempre deve ser a partir do primeiro dia subsequente ao mês relativo à prestação dos serviços.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 xml:space="preserve">As retenções tributárias federais destacadas na Nota Fiscal (IR, </w:t>
            </w:r>
            <w:proofErr w:type="spellStart"/>
            <w:r>
              <w:rPr>
                <w:b/>
                <w:sz w:val="20"/>
                <w:szCs w:val="20"/>
              </w:rPr>
              <w:t>CSLL</w:t>
            </w:r>
            <w:proofErr w:type="spellEnd"/>
            <w:r>
              <w:rPr>
                <w:b/>
                <w:sz w:val="20"/>
                <w:szCs w:val="20"/>
              </w:rPr>
              <w:t>, PIS/PASEP, COFI</w:t>
            </w:r>
            <w:r>
              <w:rPr>
                <w:b/>
                <w:sz w:val="20"/>
                <w:szCs w:val="20"/>
              </w:rPr>
              <w:t>NS) estão corretas?</w:t>
            </w:r>
          </w:p>
          <w:p w:rsidR="00204290" w:rsidRDefault="00351E21">
            <w:pPr>
              <w:ind w:left="117" w:right="188"/>
              <w:contextualSpacing w:val="0"/>
              <w:jc w:val="both"/>
            </w:pPr>
            <w:r>
              <w:rPr>
                <w:b/>
                <w:color w:val="00B050"/>
                <w:sz w:val="18"/>
                <w:szCs w:val="18"/>
              </w:rPr>
              <w:t xml:space="preserve">ATENÇÃO FISCAL: </w:t>
            </w:r>
            <w:r>
              <w:rPr>
                <w:sz w:val="18"/>
                <w:szCs w:val="18"/>
              </w:rPr>
              <w:t xml:space="preserve">Os cálculos dos valores corretos das retenções estão dispostos na planilha de Controle Mensal referente ao contrato. A tarefa do fiscal é confrontar as informações da planilha com os valores que estão dispostos na NF. Não deve haver </w:t>
            </w:r>
            <w:proofErr w:type="spellStart"/>
            <w:r>
              <w:rPr>
                <w:sz w:val="18"/>
                <w:szCs w:val="18"/>
              </w:rPr>
              <w:t>divergencias</w:t>
            </w:r>
            <w:proofErr w:type="spellEnd"/>
            <w:r>
              <w:rPr>
                <w:sz w:val="18"/>
                <w:szCs w:val="18"/>
              </w:rPr>
              <w:t>. Caso haja</w:t>
            </w:r>
            <w:r>
              <w:rPr>
                <w:sz w:val="18"/>
                <w:szCs w:val="18"/>
              </w:rPr>
              <w:t xml:space="preserve"> o Fiscal deverá solicitar à empresa que </w:t>
            </w:r>
            <w:proofErr w:type="spellStart"/>
            <w:r>
              <w:rPr>
                <w:sz w:val="18"/>
                <w:szCs w:val="18"/>
              </w:rPr>
              <w:t>corriga</w:t>
            </w:r>
            <w:proofErr w:type="spellEnd"/>
            <w:r>
              <w:rPr>
                <w:sz w:val="18"/>
                <w:szCs w:val="18"/>
              </w:rPr>
              <w:t xml:space="preserve"> a NF, destacando corretamente os tributos. </w:t>
            </w:r>
          </w:p>
          <w:p w:rsidR="00204290" w:rsidRDefault="00204290">
            <w:pPr>
              <w:ind w:left="117" w:right="188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 xml:space="preserve"> Há retenção de </w:t>
            </w:r>
            <w:proofErr w:type="spellStart"/>
            <w:r>
              <w:rPr>
                <w:b/>
                <w:sz w:val="20"/>
                <w:szCs w:val="20"/>
              </w:rPr>
              <w:t>ISSQN</w:t>
            </w:r>
            <w:proofErr w:type="spellEnd"/>
            <w:r>
              <w:rPr>
                <w:b/>
                <w:sz w:val="20"/>
                <w:szCs w:val="20"/>
              </w:rPr>
              <w:t xml:space="preserve"> na Nota Fiscal?</w:t>
            </w:r>
          </w:p>
          <w:p w:rsidR="00204290" w:rsidRDefault="00351E21">
            <w:pPr>
              <w:ind w:left="117" w:right="188"/>
              <w:contextualSpacing w:val="0"/>
              <w:jc w:val="both"/>
            </w:pPr>
            <w:r>
              <w:rPr>
                <w:sz w:val="18"/>
                <w:szCs w:val="18"/>
              </w:rPr>
              <w:t xml:space="preserve">Caso a NF não tenha a retenção de </w:t>
            </w:r>
            <w:proofErr w:type="spellStart"/>
            <w:r>
              <w:rPr>
                <w:sz w:val="18"/>
                <w:szCs w:val="18"/>
              </w:rPr>
              <w:t>ISSQN</w:t>
            </w:r>
            <w:proofErr w:type="spellEnd"/>
            <w:r>
              <w:rPr>
                <w:sz w:val="18"/>
                <w:szCs w:val="18"/>
              </w:rPr>
              <w:t xml:space="preserve"> destacada, o fiscal deve verificar se o serviço foi prestado fora do do</w:t>
            </w:r>
            <w:r>
              <w:rPr>
                <w:sz w:val="18"/>
                <w:szCs w:val="18"/>
              </w:rPr>
              <w:t xml:space="preserve">micílio sede do prestador de serviço. </w:t>
            </w:r>
          </w:p>
          <w:p w:rsidR="00204290" w:rsidRDefault="00351E21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18"/>
                <w:szCs w:val="18"/>
              </w:rPr>
              <w:t>Em caso positivo: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O Fiscal deverá verificar se a empresa apresentou comprovante de retenção de </w:t>
            </w:r>
            <w:proofErr w:type="spellStart"/>
            <w:r>
              <w:rPr>
                <w:sz w:val="18"/>
                <w:szCs w:val="18"/>
              </w:rPr>
              <w:t>ISSQN</w:t>
            </w:r>
            <w:proofErr w:type="spellEnd"/>
            <w:r>
              <w:rPr>
                <w:sz w:val="18"/>
                <w:szCs w:val="18"/>
              </w:rPr>
              <w:t xml:space="preserve"> junto à prefeitura de cidade em que o serviço foi prestado.</w:t>
            </w:r>
          </w:p>
          <w:p w:rsidR="00204290" w:rsidRDefault="00351E21">
            <w:pPr>
              <w:numPr>
                <w:ilvl w:val="0"/>
                <w:numId w:val="2"/>
              </w:numPr>
              <w:tabs>
                <w:tab w:val="left" w:pos="432"/>
              </w:tabs>
              <w:spacing w:after="200" w:line="276" w:lineRule="auto"/>
              <w:ind w:left="149" w:right="188" w:firstLine="0"/>
              <w:jc w:val="both"/>
            </w:pPr>
            <w:r>
              <w:rPr>
                <w:b/>
                <w:sz w:val="18"/>
                <w:szCs w:val="18"/>
              </w:rPr>
              <w:t>Em caso negativo: O Fiscal deverá solicitar à empresa que corrija a NF, destacando corretamente os tributos.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90" w:rsidTr="00E3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:rsidR="00204290" w:rsidRDefault="00351E21">
            <w:pPr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20"/>
                <w:szCs w:val="20"/>
              </w:rPr>
              <w:t>A empresa possui conta-vinculada?</w:t>
            </w:r>
          </w:p>
          <w:p w:rsidR="00204290" w:rsidRDefault="00351E21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ind w:left="149" w:right="188" w:firstLine="0"/>
              <w:jc w:val="both"/>
            </w:pPr>
            <w:r>
              <w:rPr>
                <w:b/>
                <w:sz w:val="18"/>
                <w:szCs w:val="18"/>
              </w:rPr>
              <w:t>Em caso positivo</w:t>
            </w:r>
            <w:r>
              <w:rPr>
                <w:sz w:val="18"/>
                <w:szCs w:val="18"/>
              </w:rPr>
              <w:t>: O fiscal irá analisar os dados da planilha de Controle Mensal e destacar no campo específico desta Lista de Verificação o valor a ser contingenciado. Além de Carimbar na Nota Fiscal as informações a respeito do contingenciamento mensal.</w:t>
            </w:r>
          </w:p>
          <w:p w:rsidR="00204290" w:rsidRDefault="00351E21">
            <w:pPr>
              <w:tabs>
                <w:tab w:val="left" w:pos="432"/>
              </w:tabs>
              <w:spacing w:line="276" w:lineRule="auto"/>
              <w:ind w:right="188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114300" distB="114300" distL="114300" distR="114300" wp14:anchorId="6B75B410" wp14:editId="1D89C080">
                  <wp:extent cx="2286000" cy="127635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04290" w:rsidRDefault="00351E21">
            <w:pPr>
              <w:numPr>
                <w:ilvl w:val="0"/>
                <w:numId w:val="2"/>
              </w:numPr>
              <w:tabs>
                <w:tab w:val="left" w:pos="432"/>
              </w:tabs>
              <w:spacing w:after="200" w:line="276" w:lineRule="auto"/>
              <w:ind w:left="149" w:right="188" w:firstLine="0"/>
              <w:jc w:val="both"/>
            </w:pPr>
            <w:r>
              <w:rPr>
                <w:b/>
                <w:sz w:val="18"/>
                <w:szCs w:val="18"/>
              </w:rPr>
              <w:t>Em caso negativ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 Deixar o campo específico desta Lista de Verificação em branco, e não carimbar a NF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Sim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:rsidR="00204290" w:rsidRDefault="00351E2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Não</w:t>
            </w:r>
          </w:p>
          <w:p w:rsidR="00204290" w:rsidRDefault="00351E21">
            <w:pPr>
              <w:contextualSpacing w:val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204290" w:rsidRDefault="00204290"/>
    <w:sectPr w:rsidR="00204290" w:rsidSect="00E355B0">
      <w:type w:val="continuous"/>
      <w:pgSz w:w="11906" w:h="16838"/>
      <w:pgMar w:top="567" w:right="1134" w:bottom="567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21" w:rsidRDefault="00351E21">
      <w:pPr>
        <w:spacing w:after="0" w:line="240" w:lineRule="auto"/>
      </w:pPr>
      <w:r>
        <w:separator/>
      </w:r>
    </w:p>
  </w:endnote>
  <w:endnote w:type="continuationSeparator" w:id="0">
    <w:p w:rsidR="00351E21" w:rsidRDefault="003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90" w:rsidRDefault="00351E21">
    <w:pPr>
      <w:tabs>
        <w:tab w:val="center" w:pos="4252"/>
        <w:tab w:val="right" w:pos="8504"/>
      </w:tabs>
      <w:spacing w:after="0" w:line="240" w:lineRule="auto"/>
      <w:jc w:val="right"/>
    </w:pPr>
    <w:r>
      <w:t xml:space="preserve">Página </w:t>
    </w:r>
    <w:r>
      <w:fldChar w:fldCharType="begin"/>
    </w:r>
    <w:r>
      <w:instrText>PAGE</w:instrText>
    </w:r>
    <w:r w:rsidR="00E355B0">
      <w:fldChar w:fldCharType="separate"/>
    </w:r>
    <w:r w:rsidR="00E355B0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>NUMPAGES</w:instrText>
    </w:r>
    <w:r w:rsidR="00E355B0">
      <w:fldChar w:fldCharType="separate"/>
    </w:r>
    <w:r w:rsidR="00E355B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21" w:rsidRDefault="00351E21">
      <w:pPr>
        <w:spacing w:after="0" w:line="240" w:lineRule="auto"/>
      </w:pPr>
      <w:r>
        <w:separator/>
      </w:r>
    </w:p>
  </w:footnote>
  <w:footnote w:type="continuationSeparator" w:id="0">
    <w:p w:rsidR="00351E21" w:rsidRDefault="0035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90" w:rsidRDefault="00351E21">
    <w:pPr>
      <w:tabs>
        <w:tab w:val="left" w:pos="1418"/>
        <w:tab w:val="left" w:pos="4211"/>
      </w:tabs>
      <w:spacing w:before="720" w:after="0" w:line="240" w:lineRule="auto"/>
      <w:ind w:left="1418"/>
    </w:pPr>
    <w:r>
      <w:rPr>
        <w:rFonts w:ascii="Arial Narrow" w:eastAsia="Arial Narrow" w:hAnsi="Arial Narrow" w:cs="Arial Narrow"/>
        <w:b/>
        <w:sz w:val="20"/>
        <w:szCs w:val="20"/>
      </w:rPr>
      <w:t>SERVIÇO PÚBLICO FEDERAL</w:t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FF70EF" wp14:editId="019C5619">
          <wp:simplePos x="0" y="0"/>
          <wp:positionH relativeFrom="margin">
            <wp:posOffset>76200</wp:posOffset>
          </wp:positionH>
          <wp:positionV relativeFrom="paragraph">
            <wp:posOffset>200025</wp:posOffset>
          </wp:positionV>
          <wp:extent cx="603885" cy="636905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9FA551" wp14:editId="38960306">
          <wp:simplePos x="0" y="0"/>
          <wp:positionH relativeFrom="margin">
            <wp:posOffset>5762625</wp:posOffset>
          </wp:positionH>
          <wp:positionV relativeFrom="paragraph">
            <wp:posOffset>180975</wp:posOffset>
          </wp:positionV>
          <wp:extent cx="525780" cy="704215"/>
          <wp:effectExtent l="0" t="0" r="0" b="0"/>
          <wp:wrapSquare wrapText="bothSides" distT="0" distB="0" distL="114300" distR="114300"/>
          <wp:docPr id="1" name="image4.png" descr="IF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FMT"/>
                  <pic:cNvPicPr preferRelativeResize="0"/>
                </pic:nvPicPr>
                <pic:blipFill>
                  <a:blip r:embed="rId2"/>
                  <a:srcRect r="75556"/>
                  <a:stretch>
                    <a:fillRect/>
                  </a:stretch>
                </pic:blipFill>
                <pic:spPr>
                  <a:xfrm>
                    <a:off x="0" y="0"/>
                    <a:ext cx="52578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4290" w:rsidRDefault="00351E21">
    <w:pPr>
      <w:tabs>
        <w:tab w:val="left" w:pos="1418"/>
      </w:tabs>
      <w:spacing w:after="0" w:line="240" w:lineRule="auto"/>
      <w:ind w:left="1418"/>
    </w:pPr>
    <w:r>
      <w:rPr>
        <w:rFonts w:ascii="Arial Narrow" w:eastAsia="Arial Narrow" w:hAnsi="Arial Narrow" w:cs="Arial Narrow"/>
        <w:b/>
        <w:sz w:val="20"/>
        <w:szCs w:val="20"/>
      </w:rPr>
      <w:t xml:space="preserve">INSTITUTO FEDERAL DE EDUCAÇÃO, CIÊNCIA E TECNOLOGIA DE MATO </w:t>
    </w:r>
    <w:proofErr w:type="gramStart"/>
    <w:r>
      <w:rPr>
        <w:rFonts w:ascii="Arial Narrow" w:eastAsia="Arial Narrow" w:hAnsi="Arial Narrow" w:cs="Arial Narrow"/>
        <w:b/>
        <w:sz w:val="20"/>
        <w:szCs w:val="20"/>
      </w:rPr>
      <w:t>GROSSO</w:t>
    </w:r>
    <w:proofErr w:type="gramEnd"/>
  </w:p>
  <w:p w:rsidR="00204290" w:rsidRDefault="00351E21">
    <w:pPr>
      <w:tabs>
        <w:tab w:val="left" w:pos="1418"/>
        <w:tab w:val="left" w:pos="4211"/>
      </w:tabs>
      <w:spacing w:after="0" w:line="240" w:lineRule="auto"/>
      <w:ind w:left="1418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FISCALIZAÇÃO DE CONTRATOS</w:t>
    </w:r>
  </w:p>
  <w:p w:rsidR="00E355B0" w:rsidRDefault="00E355B0">
    <w:pPr>
      <w:tabs>
        <w:tab w:val="left" w:pos="1418"/>
        <w:tab w:val="left" w:pos="4211"/>
      </w:tabs>
      <w:spacing w:after="0" w:line="240" w:lineRule="auto"/>
      <w:ind w:left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18"/>
    <w:multiLevelType w:val="multilevel"/>
    <w:tmpl w:val="BA3073F2"/>
    <w:lvl w:ilvl="0">
      <w:start w:val="2"/>
      <w:numFmt w:val="bullet"/>
      <w:lvlText w:val="➔"/>
      <w:lvlJc w:val="left"/>
      <w:pPr>
        <w:ind w:left="720" w:firstLine="108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59316522"/>
    <w:multiLevelType w:val="multilevel"/>
    <w:tmpl w:val="1D280304"/>
    <w:lvl w:ilvl="0">
      <w:start w:val="1"/>
      <w:numFmt w:val="decimal"/>
      <w:lvlText w:val="%1 - "/>
      <w:lvlJc w:val="left"/>
      <w:pPr>
        <w:ind w:left="2487" w:firstLine="4614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589" w:firstLine="2818"/>
      </w:pPr>
    </w:lvl>
    <w:lvl w:ilvl="2">
      <w:start w:val="1"/>
      <w:numFmt w:val="lowerRoman"/>
      <w:lvlText w:val="%3."/>
      <w:lvlJc w:val="right"/>
      <w:pPr>
        <w:ind w:left="2309" w:firstLine="4438"/>
      </w:pPr>
    </w:lvl>
    <w:lvl w:ilvl="3">
      <w:start w:val="1"/>
      <w:numFmt w:val="decimal"/>
      <w:lvlText w:val="%4."/>
      <w:lvlJc w:val="left"/>
      <w:pPr>
        <w:ind w:left="3029" w:firstLine="5698"/>
      </w:pPr>
    </w:lvl>
    <w:lvl w:ilvl="4">
      <w:start w:val="1"/>
      <w:numFmt w:val="lowerLetter"/>
      <w:lvlText w:val="%5."/>
      <w:lvlJc w:val="left"/>
      <w:pPr>
        <w:ind w:left="3749" w:firstLine="7138"/>
      </w:pPr>
    </w:lvl>
    <w:lvl w:ilvl="5">
      <w:start w:val="1"/>
      <w:numFmt w:val="lowerRoman"/>
      <w:lvlText w:val="%6."/>
      <w:lvlJc w:val="right"/>
      <w:pPr>
        <w:ind w:left="4469" w:firstLine="8758"/>
      </w:pPr>
    </w:lvl>
    <w:lvl w:ilvl="6">
      <w:start w:val="1"/>
      <w:numFmt w:val="decimal"/>
      <w:lvlText w:val="%7."/>
      <w:lvlJc w:val="left"/>
      <w:pPr>
        <w:ind w:left="5189" w:firstLine="10018"/>
      </w:pPr>
    </w:lvl>
    <w:lvl w:ilvl="7">
      <w:start w:val="1"/>
      <w:numFmt w:val="lowerLetter"/>
      <w:lvlText w:val="%8."/>
      <w:lvlJc w:val="left"/>
      <w:pPr>
        <w:ind w:left="5909" w:firstLine="11458"/>
      </w:pPr>
    </w:lvl>
    <w:lvl w:ilvl="8">
      <w:start w:val="1"/>
      <w:numFmt w:val="lowerRoman"/>
      <w:lvlText w:val="%9."/>
      <w:lvlJc w:val="right"/>
      <w:pPr>
        <w:ind w:left="6629" w:firstLine="1307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290"/>
    <w:rsid w:val="00204290"/>
    <w:rsid w:val="00351E21"/>
    <w:rsid w:val="00E3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F7964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8064A2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5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5B0"/>
  </w:style>
  <w:style w:type="paragraph" w:styleId="Rodap">
    <w:name w:val="footer"/>
    <w:basedOn w:val="Normal"/>
    <w:link w:val="RodapChar"/>
    <w:uiPriority w:val="99"/>
    <w:unhideWhenUsed/>
    <w:rsid w:val="00E3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F7964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shd w:val="clear" w:color="auto" w:fill="8064A2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5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5B0"/>
  </w:style>
  <w:style w:type="paragraph" w:styleId="Rodap">
    <w:name w:val="footer"/>
    <w:basedOn w:val="Normal"/>
    <w:link w:val="RodapChar"/>
    <w:uiPriority w:val="99"/>
    <w:unhideWhenUsed/>
    <w:rsid w:val="00E3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eceita.fazenda.gov.br/APLICACOES/ATSPO/CERTIDAO/CNDCONJUNTAINTER/INFORMANICERTIDAO.ASP?TIP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ceita.fazenda.gov.br/APLICACOES/ATSPO/CERTIDAO/CNDCONJUNTAINTER/INFORMANICERTIDAO.ASP?TIP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iatrabalhista.com.br/guia/aviso_previ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1920</Words>
  <Characters>10368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Honorato Snowareski</cp:lastModifiedBy>
  <cp:revision>2</cp:revision>
  <dcterms:created xsi:type="dcterms:W3CDTF">2017-06-19T22:01:00Z</dcterms:created>
  <dcterms:modified xsi:type="dcterms:W3CDTF">2017-06-19T22:05:00Z</dcterms:modified>
</cp:coreProperties>
</file>