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D2" w:rsidRPr="002D22ED" w:rsidRDefault="002D22ED">
      <w:pPr>
        <w:widowControl w:val="0"/>
        <w:jc w:val="center"/>
        <w:rPr>
          <w:rFonts w:eastAsia="Arial"/>
          <w:b/>
        </w:rPr>
      </w:pPr>
      <w:bookmarkStart w:id="0" w:name="_GoBack"/>
      <w:bookmarkEnd w:id="0"/>
      <w:r w:rsidRPr="002D22ED">
        <w:rPr>
          <w:rFonts w:eastAsia="Arial"/>
          <w:b/>
        </w:rPr>
        <w:t>ANEXO IV</w:t>
      </w:r>
    </w:p>
    <w:p w:rsidR="002D22ED" w:rsidRDefault="002D22ED" w:rsidP="002D22ED">
      <w:pPr>
        <w:snapToGrid w:val="0"/>
        <w:jc w:val="center"/>
      </w:pPr>
      <w:r>
        <w:rPr>
          <w:color w:val="FF0000"/>
        </w:rPr>
        <w:t>(Antes de imprimir, apagar as instruções</w:t>
      </w:r>
      <w:proofErr w:type="gramStart"/>
      <w:r>
        <w:rPr>
          <w:color w:val="FF0000"/>
        </w:rPr>
        <w:t>)</w:t>
      </w:r>
      <w:proofErr w:type="gramEnd"/>
    </w:p>
    <w:tbl>
      <w:tblPr>
        <w:tblW w:w="9923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33"/>
        <w:gridCol w:w="3090"/>
      </w:tblGrid>
      <w:tr w:rsidR="002D22ED" w:rsidRPr="00E740A7" w:rsidTr="005D7AFE"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2D22ED" w:rsidRPr="00E740A7" w:rsidRDefault="002D22ED" w:rsidP="002D22ED">
            <w:pPr>
              <w:pStyle w:val="PargrafodaLista"/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lang w:eastAsia="pt-BR"/>
              </w:rPr>
            </w:pPr>
            <w:r w:rsidRPr="00E740A7">
              <w:rPr>
                <w:rFonts w:ascii="Times New Roman" w:eastAsia="Times New Roman" w:hAnsi="Times New Roman"/>
                <w:b/>
                <w:bCs/>
                <w:caps/>
                <w:color w:val="000000"/>
                <w:lang w:eastAsia="pt-BR"/>
              </w:rPr>
              <w:t>estudo da Estimativa de preços e preços referenciais</w:t>
            </w:r>
          </w:p>
          <w:p w:rsidR="002D22ED" w:rsidRPr="00E740A7" w:rsidRDefault="002D22ED" w:rsidP="002D22ED">
            <w:pPr>
              <w:jc w:val="center"/>
              <w:rPr>
                <w:sz w:val="22"/>
                <w:szCs w:val="22"/>
              </w:rPr>
            </w:pPr>
            <w:r w:rsidRPr="00E740A7">
              <w:rPr>
                <w:sz w:val="22"/>
                <w:szCs w:val="22"/>
              </w:rPr>
              <w:t>(IN SLTI MPOG Nº 5, DE 27 DE JUNHO DE 2014</w:t>
            </w:r>
            <w:proofErr w:type="gramStart"/>
            <w:r w:rsidRPr="00E740A7">
              <w:rPr>
                <w:sz w:val="22"/>
                <w:szCs w:val="22"/>
              </w:rPr>
              <w:t>)</w:t>
            </w:r>
            <w:proofErr w:type="gramEnd"/>
          </w:p>
        </w:tc>
      </w:tr>
      <w:tr w:rsidR="002D22ED" w:rsidRPr="00E740A7" w:rsidTr="002D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23" w:type="dxa"/>
            <w:gridSpan w:val="2"/>
            <w:shd w:val="clear" w:color="auto" w:fill="auto"/>
          </w:tcPr>
          <w:p w:rsidR="002D22ED" w:rsidRPr="00E740A7" w:rsidRDefault="002D22ED" w:rsidP="002D22ED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40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Setor Requisitante (Unidade/Setor/</w:t>
            </w:r>
            <w:proofErr w:type="spellStart"/>
            <w:r w:rsidRPr="00E740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Depto</w:t>
            </w:r>
            <w:proofErr w:type="spellEnd"/>
            <w:r w:rsidRPr="00E740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): </w:t>
            </w:r>
          </w:p>
        </w:tc>
      </w:tr>
      <w:tr w:rsidR="002D22ED" w:rsidRPr="00E740A7" w:rsidTr="002D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833" w:type="dxa"/>
            <w:shd w:val="clear" w:color="auto" w:fill="auto"/>
          </w:tcPr>
          <w:p w:rsidR="002D22ED" w:rsidRPr="00E740A7" w:rsidRDefault="002D22ED" w:rsidP="002D22ED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40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Responsável pela Pesquisa: </w:t>
            </w:r>
          </w:p>
        </w:tc>
        <w:tc>
          <w:tcPr>
            <w:tcW w:w="3090" w:type="dxa"/>
            <w:shd w:val="clear" w:color="auto" w:fill="auto"/>
          </w:tcPr>
          <w:p w:rsidR="002D22ED" w:rsidRPr="00E740A7" w:rsidRDefault="002D22ED" w:rsidP="002D22ED">
            <w:pPr>
              <w:rPr>
                <w:sz w:val="22"/>
                <w:szCs w:val="22"/>
              </w:rPr>
            </w:pPr>
            <w:r w:rsidRPr="00E740A7">
              <w:rPr>
                <w:b/>
                <w:bCs/>
                <w:sz w:val="22"/>
                <w:szCs w:val="22"/>
              </w:rPr>
              <w:t xml:space="preserve">Matrícula/SIAPE: </w:t>
            </w:r>
          </w:p>
        </w:tc>
      </w:tr>
      <w:tr w:rsidR="002D22ED" w:rsidRPr="00E740A7" w:rsidTr="002D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833" w:type="dxa"/>
            <w:shd w:val="clear" w:color="auto" w:fill="auto"/>
          </w:tcPr>
          <w:p w:rsidR="002D22ED" w:rsidRPr="00E740A7" w:rsidRDefault="002D22ED" w:rsidP="002D22ED">
            <w:pPr>
              <w:jc w:val="both"/>
              <w:rPr>
                <w:sz w:val="22"/>
                <w:szCs w:val="22"/>
              </w:rPr>
            </w:pPr>
            <w:r w:rsidRPr="00E740A7">
              <w:rPr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3090" w:type="dxa"/>
            <w:shd w:val="clear" w:color="auto" w:fill="auto"/>
          </w:tcPr>
          <w:p w:rsidR="002D22ED" w:rsidRPr="00E740A7" w:rsidRDefault="002D22ED" w:rsidP="002D22ED">
            <w:pPr>
              <w:rPr>
                <w:sz w:val="22"/>
                <w:szCs w:val="22"/>
              </w:rPr>
            </w:pPr>
            <w:r w:rsidRPr="00E740A7">
              <w:rPr>
                <w:b/>
                <w:bCs/>
                <w:sz w:val="22"/>
                <w:szCs w:val="22"/>
              </w:rPr>
              <w:t>Telefone:</w:t>
            </w:r>
          </w:p>
        </w:tc>
      </w:tr>
      <w:tr w:rsidR="002D22ED" w:rsidRPr="00E740A7" w:rsidTr="005D7AF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9923" w:type="dxa"/>
            <w:gridSpan w:val="2"/>
            <w:shd w:val="clear" w:color="auto" w:fill="92D050"/>
          </w:tcPr>
          <w:p w:rsidR="002D22ED" w:rsidRPr="00E740A7" w:rsidRDefault="002D22ED" w:rsidP="002D22ED">
            <w:pPr>
              <w:pStyle w:val="Contedodatabel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40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Objeto da Contratação</w:t>
            </w:r>
          </w:p>
        </w:tc>
      </w:tr>
      <w:tr w:rsidR="002D22ED" w:rsidRPr="00E740A7" w:rsidTr="002D22E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9923" w:type="dxa"/>
            <w:gridSpan w:val="2"/>
            <w:shd w:val="clear" w:color="auto" w:fill="auto"/>
          </w:tcPr>
          <w:p w:rsidR="002D22ED" w:rsidRPr="00E740A7" w:rsidRDefault="002D22ED" w:rsidP="002D22ED">
            <w:pPr>
              <w:snapToGrid w:val="0"/>
              <w:spacing w:line="100" w:lineRule="atLeast"/>
              <w:jc w:val="both"/>
              <w:rPr>
                <w:i/>
                <w:sz w:val="22"/>
                <w:szCs w:val="22"/>
              </w:rPr>
            </w:pPr>
            <w:r w:rsidRPr="00E740A7">
              <w:rPr>
                <w:i/>
                <w:color w:val="FF0000"/>
                <w:sz w:val="22"/>
                <w:szCs w:val="22"/>
              </w:rPr>
              <w:t>Descrever o Objeto e as quantidades exatamente como está no TR ou PB.</w:t>
            </w:r>
          </w:p>
        </w:tc>
      </w:tr>
    </w:tbl>
    <w:p w:rsidR="002D22ED" w:rsidRPr="00E740A7" w:rsidRDefault="002D22ED" w:rsidP="002D22ED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="-87" w:tblpY="157"/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2D22ED" w:rsidRPr="00E740A7" w:rsidTr="005D7AFE">
        <w:tc>
          <w:tcPr>
            <w:tcW w:w="9923" w:type="dxa"/>
            <w:shd w:val="clear" w:color="auto" w:fill="92D050"/>
          </w:tcPr>
          <w:p w:rsidR="002D22ED" w:rsidRPr="00E740A7" w:rsidRDefault="002D22ED" w:rsidP="002D22ED">
            <w:pPr>
              <w:pStyle w:val="Contedodatabel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40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Parâmetros para pesquisa de preço </w:t>
            </w:r>
          </w:p>
          <w:p w:rsidR="002D22ED" w:rsidRPr="00E740A7" w:rsidRDefault="002D22ED" w:rsidP="002D22ED">
            <w:pPr>
              <w:pStyle w:val="Contedodatabel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740A7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Pr="00E740A7">
              <w:rPr>
                <w:rFonts w:ascii="Times New Roman" w:hAnsi="Times New Roman" w:cs="Times New Roman"/>
                <w:sz w:val="22"/>
                <w:szCs w:val="22"/>
              </w:rPr>
              <w:t>Definir e documentar o método para estimativa de preços ou meios de previsão de preços referenciais)</w:t>
            </w:r>
          </w:p>
        </w:tc>
      </w:tr>
      <w:tr w:rsidR="002D22ED" w:rsidRPr="00E740A7" w:rsidTr="002D22ED">
        <w:trPr>
          <w:trHeight w:val="2321"/>
        </w:trPr>
        <w:tc>
          <w:tcPr>
            <w:tcW w:w="9923" w:type="dxa"/>
            <w:shd w:val="clear" w:color="auto" w:fill="auto"/>
          </w:tcPr>
          <w:p w:rsidR="002D22ED" w:rsidRPr="00E740A7" w:rsidRDefault="002D22ED" w:rsidP="002D22ED">
            <w:pPr>
              <w:jc w:val="both"/>
              <w:rPr>
                <w:sz w:val="22"/>
                <w:szCs w:val="22"/>
              </w:rPr>
            </w:pPr>
            <w:r w:rsidRPr="00E740A7">
              <w:rPr>
                <w:sz w:val="22"/>
                <w:szCs w:val="22"/>
              </w:rPr>
              <w:t xml:space="preserve">Considerando o disposto no §1º do art. 2º da IN SLTI MPOG n.º 05/2014, os parâmetros previstos poderão ser utilizados de forma combinada ou não, devendo ser priorizados os previstos nos incisos I e II. </w:t>
            </w:r>
            <w:proofErr w:type="gramStart"/>
            <w:r w:rsidRPr="00E740A7">
              <w:rPr>
                <w:sz w:val="22"/>
                <w:szCs w:val="22"/>
              </w:rPr>
              <w:t>Qual(</w:t>
            </w:r>
            <w:proofErr w:type="spellStart"/>
            <w:proofErr w:type="gramEnd"/>
            <w:r w:rsidRPr="00E740A7">
              <w:rPr>
                <w:sz w:val="22"/>
                <w:szCs w:val="22"/>
              </w:rPr>
              <w:t>is</w:t>
            </w:r>
            <w:proofErr w:type="spellEnd"/>
            <w:r w:rsidRPr="00E740A7">
              <w:rPr>
                <w:sz w:val="22"/>
                <w:szCs w:val="22"/>
              </w:rPr>
              <w:t>) parâmetro(s) foi adotado?</w:t>
            </w:r>
          </w:p>
          <w:p w:rsidR="002D22ED" w:rsidRPr="00E740A7" w:rsidRDefault="002D22ED" w:rsidP="002D22ED">
            <w:pPr>
              <w:jc w:val="both"/>
              <w:rPr>
                <w:sz w:val="22"/>
                <w:szCs w:val="22"/>
              </w:rPr>
            </w:pPr>
          </w:p>
          <w:p w:rsidR="002D22ED" w:rsidRPr="00E740A7" w:rsidRDefault="002D22ED" w:rsidP="002D22ED">
            <w:pPr>
              <w:jc w:val="both"/>
              <w:rPr>
                <w:sz w:val="22"/>
                <w:szCs w:val="22"/>
              </w:rPr>
            </w:pPr>
            <w:proofErr w:type="gramStart"/>
            <w:r w:rsidRPr="00E740A7">
              <w:rPr>
                <w:sz w:val="22"/>
                <w:szCs w:val="22"/>
              </w:rPr>
              <w:t xml:space="preserve">(   </w:t>
            </w:r>
            <w:proofErr w:type="gramEnd"/>
            <w:r w:rsidRPr="00E740A7">
              <w:rPr>
                <w:sz w:val="22"/>
                <w:szCs w:val="22"/>
              </w:rPr>
              <w:t>) I - Painel de Preços disponível no endereço eletrônico </w:t>
            </w:r>
            <w:hyperlink r:id="rId8" w:history="1">
              <w:r w:rsidRPr="00E740A7">
                <w:rPr>
                  <w:rStyle w:val="Hyperlink"/>
                  <w:sz w:val="22"/>
                  <w:szCs w:val="22"/>
                </w:rPr>
                <w:t>http://paineldeprecos.planejamento.gov.br</w:t>
              </w:r>
            </w:hyperlink>
            <w:r w:rsidRPr="00E740A7">
              <w:rPr>
                <w:sz w:val="22"/>
                <w:szCs w:val="22"/>
              </w:rPr>
              <w:t>; </w:t>
            </w:r>
          </w:p>
          <w:p w:rsidR="002D22ED" w:rsidRPr="00E740A7" w:rsidRDefault="002D22ED" w:rsidP="002D22ED">
            <w:pPr>
              <w:jc w:val="both"/>
              <w:rPr>
                <w:sz w:val="22"/>
                <w:szCs w:val="22"/>
              </w:rPr>
            </w:pPr>
            <w:proofErr w:type="gramStart"/>
            <w:r w:rsidRPr="00E740A7">
              <w:rPr>
                <w:sz w:val="22"/>
                <w:szCs w:val="22"/>
              </w:rPr>
              <w:t xml:space="preserve">(  </w:t>
            </w:r>
            <w:proofErr w:type="gramEnd"/>
            <w:r w:rsidRPr="00E740A7">
              <w:rPr>
                <w:sz w:val="22"/>
                <w:szCs w:val="22"/>
              </w:rPr>
              <w:t>) II - contratações similares de outros entes públicos, em execução ou concluídos nos 180 (cento e oitenta) dias anteriores à data da pesquisa de preços; </w:t>
            </w:r>
          </w:p>
          <w:p w:rsidR="002D22ED" w:rsidRPr="00E740A7" w:rsidRDefault="002D22ED" w:rsidP="002D22ED">
            <w:pPr>
              <w:jc w:val="both"/>
              <w:rPr>
                <w:sz w:val="22"/>
                <w:szCs w:val="22"/>
              </w:rPr>
            </w:pPr>
            <w:proofErr w:type="gramStart"/>
            <w:r w:rsidRPr="00E740A7">
              <w:rPr>
                <w:sz w:val="22"/>
                <w:szCs w:val="22"/>
              </w:rPr>
              <w:t xml:space="preserve">(  </w:t>
            </w:r>
            <w:proofErr w:type="gramEnd"/>
            <w:r w:rsidRPr="00E740A7">
              <w:rPr>
                <w:sz w:val="22"/>
                <w:szCs w:val="22"/>
              </w:rPr>
              <w:t>) III - pesquisa publicada em mídia especializada, sítios eletrônicos especializados ou de domínio amplo, desde que contenha a data e hora de acesso; ou </w:t>
            </w:r>
          </w:p>
          <w:p w:rsidR="002D22ED" w:rsidRPr="00E740A7" w:rsidRDefault="002D22ED" w:rsidP="002D22ED">
            <w:pPr>
              <w:jc w:val="both"/>
              <w:rPr>
                <w:sz w:val="22"/>
                <w:szCs w:val="22"/>
              </w:rPr>
            </w:pPr>
            <w:proofErr w:type="gramStart"/>
            <w:r w:rsidRPr="00E740A7">
              <w:rPr>
                <w:sz w:val="22"/>
                <w:szCs w:val="22"/>
              </w:rPr>
              <w:t xml:space="preserve">(   </w:t>
            </w:r>
            <w:proofErr w:type="gramEnd"/>
            <w:r w:rsidRPr="00E740A7">
              <w:rPr>
                <w:sz w:val="22"/>
                <w:szCs w:val="22"/>
              </w:rPr>
              <w:t>) IV - pesquisa com os fornecedores, desde que as datas das pesquisas não se diferenciem em mais de 180 (cento e oitenta) dias.</w:t>
            </w:r>
          </w:p>
          <w:p w:rsidR="002D22ED" w:rsidRPr="00E740A7" w:rsidRDefault="002D22ED" w:rsidP="002D22ED">
            <w:pPr>
              <w:jc w:val="both"/>
              <w:rPr>
                <w:sz w:val="22"/>
                <w:szCs w:val="22"/>
              </w:rPr>
            </w:pPr>
          </w:p>
          <w:p w:rsidR="002D22ED" w:rsidRPr="00E740A7" w:rsidRDefault="002D22ED" w:rsidP="002D22ED">
            <w:pPr>
              <w:jc w:val="both"/>
              <w:rPr>
                <w:sz w:val="22"/>
                <w:szCs w:val="22"/>
              </w:rPr>
            </w:pPr>
            <w:r w:rsidRPr="00E740A7">
              <w:rPr>
                <w:sz w:val="22"/>
                <w:szCs w:val="22"/>
              </w:rPr>
              <w:t>Caso não tenham sido utilizados os parâmetros dos Incisos I e II, justifique:</w:t>
            </w:r>
          </w:p>
          <w:p w:rsidR="002D22ED" w:rsidRPr="00E740A7" w:rsidRDefault="002D22ED" w:rsidP="002D22ED">
            <w:pPr>
              <w:jc w:val="both"/>
              <w:rPr>
                <w:sz w:val="22"/>
                <w:szCs w:val="22"/>
              </w:rPr>
            </w:pPr>
            <w:r w:rsidRPr="00E740A7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740A7">
              <w:rPr>
                <w:sz w:val="22"/>
                <w:szCs w:val="22"/>
              </w:rPr>
              <w:t>_________________________</w:t>
            </w:r>
          </w:p>
          <w:p w:rsidR="002D22ED" w:rsidRPr="00E740A7" w:rsidRDefault="002D22ED" w:rsidP="002D22ED">
            <w:pPr>
              <w:spacing w:line="100" w:lineRule="atLeast"/>
              <w:jc w:val="both"/>
              <w:rPr>
                <w:rFonts w:eastAsia="CIDFont+F1"/>
                <w:b/>
                <w:bCs/>
                <w:sz w:val="22"/>
                <w:szCs w:val="22"/>
              </w:rPr>
            </w:pPr>
            <w:r w:rsidRPr="00E740A7">
              <w:rPr>
                <w:rFonts w:eastAsia="CIDFont+F1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tbl>
      <w:tblPr>
        <w:tblW w:w="9923" w:type="dxa"/>
        <w:tblInd w:w="-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4"/>
        <w:gridCol w:w="1456"/>
        <w:gridCol w:w="576"/>
        <w:gridCol w:w="736"/>
        <w:gridCol w:w="1003"/>
        <w:gridCol w:w="1003"/>
        <w:gridCol w:w="1003"/>
        <w:gridCol w:w="1003"/>
        <w:gridCol w:w="1003"/>
        <w:gridCol w:w="1446"/>
      </w:tblGrid>
      <w:tr w:rsidR="002D22ED" w:rsidTr="005D7AFE">
        <w:trPr>
          <w:trHeight w:val="165"/>
        </w:trPr>
        <w:tc>
          <w:tcPr>
            <w:tcW w:w="9923" w:type="dxa"/>
            <w:gridSpan w:val="10"/>
            <w:shd w:val="clear" w:color="auto" w:fill="92D050"/>
          </w:tcPr>
          <w:p w:rsidR="002D22ED" w:rsidRDefault="002D22ED" w:rsidP="002D22ED">
            <w:pPr>
              <w:pStyle w:val="Contedodatabela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023DBD">
              <w:rPr>
                <w:b/>
              </w:rPr>
              <w:t>Memória de cálculo da estimativa de preços</w:t>
            </w:r>
          </w:p>
          <w:p w:rsidR="002D22ED" w:rsidRPr="0038796D" w:rsidRDefault="002D22ED" w:rsidP="002D22ED">
            <w:pPr>
              <w:spacing w:line="100" w:lineRule="atLeast"/>
              <w:jc w:val="both"/>
              <w:rPr>
                <w:rFonts w:ascii="Arial" w:hAnsi="Arial" w:cs="Open Sans"/>
                <w:sz w:val="20"/>
                <w:szCs w:val="20"/>
              </w:rPr>
            </w:pPr>
            <w:r w:rsidRPr="0038796D">
              <w:rPr>
                <w:rFonts w:ascii="Arial" w:hAnsi="Arial" w:cs="Open Sans"/>
                <w:sz w:val="18"/>
                <w:szCs w:val="20"/>
              </w:rPr>
              <w:t>(</w:t>
            </w:r>
            <w:r w:rsidRPr="0038796D">
              <w:rPr>
                <w:sz w:val="22"/>
              </w:rPr>
              <w:t>Demonstrar as memórias de cálculo da estimativa de preços ou dos preços referenciais e anexar os documentos que lhe dão suporte)</w:t>
            </w:r>
          </w:p>
        </w:tc>
      </w:tr>
      <w:tr w:rsidR="002D22ED" w:rsidRPr="00834307" w:rsidTr="002D22ED">
        <w:trPr>
          <w:trHeight w:val="102"/>
        </w:trPr>
        <w:tc>
          <w:tcPr>
            <w:tcW w:w="9923" w:type="dxa"/>
            <w:gridSpan w:val="10"/>
          </w:tcPr>
          <w:p w:rsidR="002D22ED" w:rsidRPr="00E740A7" w:rsidRDefault="002D22ED" w:rsidP="002D22ED">
            <w:pPr>
              <w:rPr>
                <w:color w:val="FF0000"/>
                <w:sz w:val="20"/>
              </w:rPr>
            </w:pPr>
            <w:r w:rsidRPr="00E740A7">
              <w:rPr>
                <w:color w:val="FF0000"/>
                <w:sz w:val="20"/>
              </w:rPr>
              <w:t>Considerar o disposto na IN SLTI MPOG n.º 05/2014, transcrito a seguir:</w:t>
            </w:r>
          </w:p>
          <w:p w:rsidR="002D22ED" w:rsidRPr="00E740A7" w:rsidRDefault="002D22ED" w:rsidP="002D22ED">
            <w:pPr>
              <w:jc w:val="both"/>
              <w:rPr>
                <w:i/>
                <w:color w:val="FF0000"/>
                <w:sz w:val="20"/>
              </w:rPr>
            </w:pPr>
            <w:proofErr w:type="gramStart"/>
            <w:r w:rsidRPr="00E740A7">
              <w:rPr>
                <w:color w:val="FF0000"/>
                <w:sz w:val="20"/>
              </w:rPr>
              <w:t>“</w:t>
            </w:r>
            <w:r w:rsidRPr="00E740A7">
              <w:rPr>
                <w:i/>
                <w:color w:val="FF0000"/>
                <w:sz w:val="20"/>
              </w:rPr>
              <w:t>Art. 2º</w:t>
            </w:r>
          </w:p>
          <w:p w:rsidR="002D22ED" w:rsidRPr="00E740A7" w:rsidRDefault="002D22ED" w:rsidP="002D22ED">
            <w:pPr>
              <w:jc w:val="both"/>
              <w:rPr>
                <w:i/>
                <w:color w:val="FF0000"/>
                <w:sz w:val="20"/>
              </w:rPr>
            </w:pPr>
            <w:proofErr w:type="gramEnd"/>
            <w:r w:rsidRPr="00E740A7">
              <w:rPr>
                <w:i/>
                <w:color w:val="FF0000"/>
                <w:sz w:val="20"/>
              </w:rPr>
              <w:t>(...)</w:t>
            </w:r>
          </w:p>
          <w:p w:rsidR="002D22ED" w:rsidRPr="00E740A7" w:rsidRDefault="002D22ED" w:rsidP="002D22ED">
            <w:pPr>
              <w:jc w:val="both"/>
              <w:rPr>
                <w:i/>
                <w:color w:val="FF0000"/>
                <w:sz w:val="20"/>
              </w:rPr>
            </w:pPr>
            <w:r w:rsidRPr="00E740A7">
              <w:rPr>
                <w:i/>
                <w:color w:val="FF0000"/>
                <w:sz w:val="20"/>
              </w:rPr>
              <w:t xml:space="preserve">§2º Deverão ser utilizados, como metodologia para obtenção do preço de referência para a contratação, </w:t>
            </w:r>
            <w:r w:rsidRPr="00E740A7">
              <w:rPr>
                <w:i/>
                <w:color w:val="FF0000"/>
                <w:sz w:val="20"/>
                <w:u w:val="single"/>
              </w:rPr>
              <w:t>a média, a mediana ou o menor dos valores obtidos na pesquisa de preços, desde que o cálculo incida sobre um conjunto de três ou mais preços</w:t>
            </w:r>
            <w:r w:rsidRPr="00E740A7">
              <w:rPr>
                <w:i/>
                <w:color w:val="FF0000"/>
                <w:sz w:val="20"/>
              </w:rPr>
              <w:t>, oriundos de um ou mais dos parâmetros adotados neste artigo, desconsiderados os valores inexequíveis e os excessivamente elevados.</w:t>
            </w:r>
          </w:p>
          <w:p w:rsidR="002D22ED" w:rsidRPr="00E740A7" w:rsidRDefault="002D22ED" w:rsidP="002D22ED">
            <w:pPr>
              <w:jc w:val="both"/>
              <w:rPr>
                <w:i/>
                <w:color w:val="FF0000"/>
                <w:sz w:val="20"/>
              </w:rPr>
            </w:pPr>
            <w:r w:rsidRPr="00E740A7">
              <w:rPr>
                <w:i/>
                <w:color w:val="FF0000"/>
                <w:sz w:val="20"/>
              </w:rPr>
              <w:t xml:space="preserve"> §3º Poderão ser utilizados outros critérios ou metodologias, </w:t>
            </w:r>
            <w:r w:rsidRPr="00E740A7">
              <w:rPr>
                <w:i/>
                <w:color w:val="FF0000"/>
                <w:sz w:val="20"/>
                <w:u w:val="single"/>
              </w:rPr>
              <w:t>desde que devidamente justificados pela autoridade competente. </w:t>
            </w:r>
          </w:p>
          <w:p w:rsidR="002D22ED" w:rsidRPr="00E740A7" w:rsidRDefault="002D22ED" w:rsidP="002D22ED">
            <w:pPr>
              <w:jc w:val="both"/>
              <w:rPr>
                <w:i/>
                <w:color w:val="FF0000"/>
                <w:sz w:val="20"/>
              </w:rPr>
            </w:pPr>
            <w:r w:rsidRPr="00E740A7">
              <w:rPr>
                <w:i/>
                <w:color w:val="FF0000"/>
                <w:sz w:val="20"/>
              </w:rPr>
              <w:t> §4º Os preços coletados devem ser analisados de forma crítica, em especial, quando houver grande variação entre os valores apresentados. </w:t>
            </w:r>
          </w:p>
          <w:p w:rsidR="002D22ED" w:rsidRPr="00E740A7" w:rsidRDefault="002D22ED" w:rsidP="002D22ED">
            <w:pPr>
              <w:jc w:val="both"/>
              <w:rPr>
                <w:i/>
                <w:color w:val="FF0000"/>
                <w:sz w:val="20"/>
              </w:rPr>
            </w:pPr>
            <w:r w:rsidRPr="00E740A7">
              <w:rPr>
                <w:i/>
                <w:color w:val="FF0000"/>
                <w:sz w:val="20"/>
              </w:rPr>
              <w:t> §5º Para desconsideração dos preços inexequíveis ou excessivamente elevados, deverão ser adotados critérios fundamentados e descritos no processo administrativo.</w:t>
            </w:r>
          </w:p>
          <w:p w:rsidR="002D22ED" w:rsidRPr="00E740A7" w:rsidRDefault="002D22ED" w:rsidP="002D22ED">
            <w:pPr>
              <w:jc w:val="both"/>
              <w:rPr>
                <w:i/>
                <w:color w:val="FF0000"/>
                <w:sz w:val="20"/>
              </w:rPr>
            </w:pPr>
            <w:r w:rsidRPr="00E740A7">
              <w:rPr>
                <w:i/>
                <w:color w:val="FF0000"/>
                <w:sz w:val="20"/>
              </w:rPr>
              <w:t xml:space="preserve"> §6º </w:t>
            </w:r>
            <w:r w:rsidRPr="00E740A7">
              <w:rPr>
                <w:i/>
                <w:color w:val="FF0000"/>
                <w:sz w:val="20"/>
                <w:u w:val="single"/>
              </w:rPr>
              <w:t>Excepcionalmente, mediante justificativa da autoridade competente</w:t>
            </w:r>
            <w:r w:rsidRPr="00E740A7">
              <w:rPr>
                <w:i/>
                <w:color w:val="FF0000"/>
                <w:sz w:val="20"/>
              </w:rPr>
              <w:t xml:space="preserve">, será admitida a pesquisa com menos de três </w:t>
            </w:r>
            <w:r w:rsidRPr="00E740A7">
              <w:rPr>
                <w:i/>
                <w:color w:val="FF0000"/>
                <w:sz w:val="20"/>
              </w:rPr>
              <w:lastRenderedPageBreak/>
              <w:t>preços ou fornecedores.</w:t>
            </w:r>
          </w:p>
          <w:p w:rsidR="002D22ED" w:rsidRPr="00E740A7" w:rsidRDefault="002D22ED" w:rsidP="002D22ED">
            <w:pPr>
              <w:jc w:val="both"/>
              <w:rPr>
                <w:i/>
                <w:color w:val="FF0000"/>
                <w:sz w:val="20"/>
              </w:rPr>
            </w:pPr>
            <w:r w:rsidRPr="00E740A7">
              <w:rPr>
                <w:i/>
                <w:color w:val="FF0000"/>
                <w:sz w:val="20"/>
              </w:rPr>
              <w:t xml:space="preserve"> Art. 3º Quando a pesquisa de preços for realizada com os fornecedores, </w:t>
            </w:r>
            <w:r w:rsidRPr="00E740A7">
              <w:rPr>
                <w:i/>
                <w:color w:val="FF0000"/>
                <w:sz w:val="20"/>
                <w:u w:val="single"/>
              </w:rPr>
              <w:t>estes deverão receber solicitação formal para apresentação de cotação.</w:t>
            </w:r>
          </w:p>
          <w:p w:rsidR="002D22ED" w:rsidRPr="00EE5994" w:rsidRDefault="002D22ED" w:rsidP="002D22ED">
            <w:pPr>
              <w:jc w:val="both"/>
              <w:rPr>
                <w:color w:val="FF0000"/>
              </w:rPr>
            </w:pPr>
            <w:r w:rsidRPr="00E740A7">
              <w:rPr>
                <w:i/>
                <w:color w:val="FF0000"/>
                <w:sz w:val="20"/>
              </w:rPr>
              <w:t xml:space="preserve"> Parágrafo único. </w:t>
            </w:r>
            <w:proofErr w:type="gramStart"/>
            <w:r w:rsidRPr="00E740A7">
              <w:rPr>
                <w:i/>
                <w:color w:val="FF0000"/>
                <w:sz w:val="20"/>
              </w:rPr>
              <w:t>Deverá ser conferido aos fornecedores prazo de resposta compatível com a complexidade do objeto a ser licitado, o qual não será inferior a cinco dias úteis.</w:t>
            </w:r>
            <w:r w:rsidRPr="00E740A7">
              <w:rPr>
                <w:color w:val="FF0000"/>
                <w:sz w:val="20"/>
              </w:rPr>
              <w:t>”</w:t>
            </w:r>
            <w:proofErr w:type="gramEnd"/>
          </w:p>
        </w:tc>
      </w:tr>
      <w:tr w:rsidR="002D22ED" w:rsidTr="002D22E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6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86"/>
        </w:trPr>
        <w:tc>
          <w:tcPr>
            <w:tcW w:w="69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D22ED" w:rsidRDefault="002D22ED" w:rsidP="002D22ED">
            <w:pPr>
              <w:spacing w:before="60"/>
              <w:jc w:val="center"/>
              <w:rPr>
                <w:rFonts w:ascii="Calibri" w:hAnsi="Calibri"/>
                <w:b/>
                <w:bCs/>
              </w:rPr>
            </w:pPr>
            <w:r w:rsidRPr="000F7FB8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ITEM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D22ED" w:rsidRDefault="002D22ED" w:rsidP="002D22ED">
            <w:pPr>
              <w:spacing w:before="60"/>
              <w:jc w:val="center"/>
              <w:rPr>
                <w:rFonts w:ascii="Calibri" w:hAnsi="Calibri"/>
                <w:b/>
                <w:bCs/>
              </w:rPr>
            </w:pPr>
            <w:r w:rsidRPr="000F7FB8">
              <w:rPr>
                <w:rFonts w:ascii="Calibri" w:hAnsi="Calibri"/>
                <w:b/>
                <w:bCs/>
                <w:sz w:val="18"/>
                <w:szCs w:val="18"/>
              </w:rPr>
              <w:t>DESCRIÇÃO RESUMIDA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D22ED" w:rsidRDefault="002D22ED" w:rsidP="002D22ED">
            <w:pPr>
              <w:spacing w:before="120"/>
              <w:jc w:val="center"/>
              <w:rPr>
                <w:rFonts w:ascii="Calibri" w:hAnsi="Calibri"/>
                <w:b/>
                <w:bCs/>
              </w:rPr>
            </w:pPr>
            <w:r w:rsidRPr="000F7FB8">
              <w:rPr>
                <w:rFonts w:ascii="Calibri" w:hAnsi="Calibri"/>
                <w:b/>
                <w:bCs/>
                <w:sz w:val="18"/>
                <w:szCs w:val="18"/>
              </w:rPr>
              <w:t>UNID.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D22ED" w:rsidRDefault="002D22ED" w:rsidP="002D22ED">
            <w:pPr>
              <w:spacing w:before="120"/>
              <w:jc w:val="center"/>
              <w:rPr>
                <w:rFonts w:ascii="Calibri" w:hAnsi="Calibri"/>
                <w:b/>
                <w:bCs/>
              </w:rPr>
            </w:pPr>
            <w:r w:rsidRPr="000F7FB8">
              <w:rPr>
                <w:rFonts w:ascii="Calibri" w:hAnsi="Calibri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D22ED" w:rsidRDefault="002D22ED" w:rsidP="002D22ED">
            <w:pPr>
              <w:spacing w:before="60"/>
              <w:jc w:val="center"/>
              <w:rPr>
                <w:rFonts w:ascii="Calibri" w:hAnsi="Calibri"/>
                <w:b/>
                <w:bCs/>
              </w:rPr>
            </w:pPr>
            <w:r w:rsidRPr="000F7FB8">
              <w:rPr>
                <w:rFonts w:ascii="Calibri" w:hAnsi="Calibri"/>
                <w:b/>
                <w:bCs/>
                <w:sz w:val="18"/>
                <w:szCs w:val="18"/>
              </w:rPr>
              <w:t>PREÇO 01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D22ED" w:rsidRDefault="002D22ED" w:rsidP="002D22ED">
            <w:pPr>
              <w:spacing w:before="60"/>
              <w:jc w:val="center"/>
              <w:rPr>
                <w:rFonts w:ascii="Calibri" w:hAnsi="Calibri"/>
                <w:b/>
                <w:bCs/>
              </w:rPr>
            </w:pPr>
            <w:r w:rsidRPr="000F7FB8">
              <w:rPr>
                <w:rFonts w:ascii="Calibri" w:hAnsi="Calibri"/>
                <w:b/>
                <w:bCs/>
                <w:sz w:val="18"/>
                <w:szCs w:val="18"/>
              </w:rPr>
              <w:t>PREÇO 02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D22ED" w:rsidRDefault="002D22ED" w:rsidP="002D22ED">
            <w:pPr>
              <w:spacing w:before="60"/>
              <w:jc w:val="center"/>
              <w:rPr>
                <w:rFonts w:ascii="Calibri" w:hAnsi="Calibri"/>
                <w:b/>
                <w:bCs/>
              </w:rPr>
            </w:pPr>
            <w:r w:rsidRPr="000F7FB8">
              <w:rPr>
                <w:rFonts w:ascii="Calibri" w:hAnsi="Calibri"/>
                <w:b/>
                <w:bCs/>
                <w:sz w:val="18"/>
                <w:szCs w:val="18"/>
              </w:rPr>
              <w:t xml:space="preserve">PREÇO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22ED" w:rsidRDefault="002D22ED" w:rsidP="002D22ED">
            <w:pPr>
              <w:spacing w:before="60"/>
              <w:jc w:val="center"/>
              <w:rPr>
                <w:rFonts w:ascii="Calibri" w:hAnsi="Calibri"/>
                <w:b/>
                <w:bCs/>
              </w:rPr>
            </w:pPr>
            <w:r w:rsidRPr="000F7FB8">
              <w:rPr>
                <w:rFonts w:ascii="Calibri" w:hAnsi="Calibri"/>
                <w:b/>
                <w:bCs/>
                <w:sz w:val="18"/>
                <w:szCs w:val="18"/>
              </w:rPr>
              <w:t xml:space="preserve">PREÇO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44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D22ED" w:rsidRDefault="002D22ED" w:rsidP="002D22ED">
            <w:pPr>
              <w:spacing w:before="60"/>
              <w:jc w:val="center"/>
              <w:rPr>
                <w:rFonts w:ascii="Calibri" w:hAnsi="Calibri"/>
                <w:b/>
                <w:bCs/>
              </w:rPr>
            </w:pPr>
            <w:r w:rsidRPr="000F7FB8">
              <w:rPr>
                <w:rFonts w:ascii="Calibri" w:hAnsi="Calibri"/>
                <w:b/>
                <w:bCs/>
                <w:sz w:val="18"/>
                <w:szCs w:val="18"/>
              </w:rPr>
              <w:t xml:space="preserve">Valor de Referência (R$) </w:t>
            </w:r>
          </w:p>
          <w:p w:rsidR="002D22ED" w:rsidRPr="000F7FB8" w:rsidRDefault="002D22ED" w:rsidP="002D22ED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22ED" w:rsidTr="002D22E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6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7"/>
        </w:trPr>
        <w:tc>
          <w:tcPr>
            <w:tcW w:w="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spacing w:before="120" w:after="4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Default="002D22ED" w:rsidP="002D22ED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spacing w:before="120" w:after="4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spacing w:before="120" w:after="4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Default="002D22ED" w:rsidP="002D22ED">
            <w:pPr>
              <w:spacing w:before="12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bookmarkStart w:id="1" w:name="__DdeLink__213_3111573361"/>
            <w:r w:rsidRPr="000F7FB8">
              <w:rPr>
                <w:rFonts w:ascii="Calibri" w:hAnsi="Calibri"/>
                <w:b/>
                <w:bCs/>
                <w:sz w:val="16"/>
                <w:szCs w:val="16"/>
              </w:rPr>
              <w:t xml:space="preserve">Valor Unitário </w:t>
            </w:r>
            <w:bookmarkEnd w:id="1"/>
            <w:r w:rsidRPr="000F7FB8">
              <w:rPr>
                <w:rFonts w:ascii="Calibri" w:hAnsi="Calibri"/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Default="002D22ED" w:rsidP="002D22ED">
            <w:pPr>
              <w:spacing w:before="12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F7FB8">
              <w:rPr>
                <w:rFonts w:ascii="Calibri" w:hAnsi="Calibri"/>
                <w:b/>
                <w:bCs/>
                <w:sz w:val="16"/>
                <w:szCs w:val="16"/>
              </w:rPr>
              <w:t>Valor Unitário R$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Default="002D22ED" w:rsidP="002D22ED">
            <w:pPr>
              <w:spacing w:before="12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F7FB8">
              <w:rPr>
                <w:rFonts w:ascii="Calibri" w:hAnsi="Calibri"/>
                <w:b/>
                <w:bCs/>
                <w:sz w:val="16"/>
                <w:szCs w:val="16"/>
              </w:rPr>
              <w:t>Valor Unitário R$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2ED" w:rsidRDefault="002D22ED" w:rsidP="002D22ED">
            <w:pPr>
              <w:spacing w:before="12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F7FB8">
              <w:rPr>
                <w:rFonts w:ascii="Calibri" w:hAnsi="Calibri"/>
                <w:b/>
                <w:bCs/>
                <w:sz w:val="16"/>
                <w:szCs w:val="16"/>
              </w:rPr>
              <w:t>Valor Unitário R$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Default="002D22ED" w:rsidP="002D22ED">
            <w:pPr>
              <w:spacing w:before="12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F7FB8">
              <w:rPr>
                <w:rFonts w:ascii="Calibri" w:hAnsi="Calibri"/>
                <w:b/>
                <w:bCs/>
                <w:sz w:val="16"/>
                <w:szCs w:val="16"/>
              </w:rPr>
              <w:t>Valor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Unitário</w:t>
            </w:r>
            <w:r w:rsidRPr="000F7FB8">
              <w:rPr>
                <w:rFonts w:ascii="Calibri" w:hAnsi="Calibri"/>
                <w:b/>
                <w:bCs/>
                <w:sz w:val="16"/>
                <w:szCs w:val="16"/>
              </w:rPr>
              <w:t xml:space="preserve"> R$ 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22ED" w:rsidRDefault="002D22ED" w:rsidP="002D22ED">
            <w:pPr>
              <w:spacing w:before="120" w:after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Valor total R$</w:t>
            </w:r>
          </w:p>
        </w:tc>
      </w:tr>
      <w:tr w:rsidR="002D22ED" w:rsidTr="002D22E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6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D22ED" w:rsidTr="002D22E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0" w:type="dxa"/>
            <w:left w:w="6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22ED" w:rsidRPr="000F7FB8" w:rsidRDefault="002D22ED" w:rsidP="002D22ED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D22ED" w:rsidRDefault="002D22ED" w:rsidP="002D22ED">
      <w:pPr>
        <w:spacing w:after="57" w:line="100" w:lineRule="atLeast"/>
      </w:pPr>
    </w:p>
    <w:p w:rsidR="002D22ED" w:rsidRDefault="002D22ED" w:rsidP="002D22ED">
      <w:pPr>
        <w:spacing w:after="57" w:line="100" w:lineRule="atLeast"/>
      </w:pPr>
      <w:r>
        <w:t>Ao utilizar os parâmetros estabelecidos nos incisos I e II preencher essa tabela.</w:t>
      </w:r>
    </w:p>
    <w:tbl>
      <w:tblPr>
        <w:tblW w:w="5410" w:type="pct"/>
        <w:tblInd w:w="-96" w:type="dxa"/>
        <w:tblBorders>
          <w:top w:val="single" w:sz="4" w:space="0" w:color="00000A"/>
          <w:left w:val="single" w:sz="4" w:space="0" w:color="00000A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31"/>
        <w:gridCol w:w="3021"/>
        <w:gridCol w:w="3771"/>
      </w:tblGrid>
      <w:tr w:rsidR="002D22ED" w:rsidTr="002D22ED">
        <w:tc>
          <w:tcPr>
            <w:tcW w:w="1578" w:type="pct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2D22ED" w:rsidRDefault="002D22ED" w:rsidP="002D22ED">
            <w:pPr>
              <w:spacing w:before="60"/>
              <w:jc w:val="center"/>
              <w:rPr>
                <w:rFonts w:ascii="Calibri" w:hAnsi="Calibri"/>
                <w:b/>
                <w:bCs/>
              </w:rPr>
            </w:pPr>
            <w:r w:rsidRPr="000F7FB8">
              <w:rPr>
                <w:rFonts w:ascii="Calibri" w:hAnsi="Calibri"/>
                <w:b/>
                <w:bCs/>
                <w:sz w:val="18"/>
                <w:szCs w:val="18"/>
              </w:rPr>
              <w:t xml:space="preserve">PREÇO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22" w:type="pct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2D22ED" w:rsidRDefault="002D22ED" w:rsidP="002D22ED">
            <w:pPr>
              <w:spacing w:before="60"/>
              <w:jc w:val="center"/>
              <w:rPr>
                <w:rFonts w:ascii="Calibri" w:hAnsi="Calibri"/>
                <w:b/>
                <w:bCs/>
              </w:rPr>
            </w:pPr>
            <w:r w:rsidRPr="000F7FB8">
              <w:rPr>
                <w:rFonts w:ascii="Calibri" w:hAnsi="Calibri"/>
                <w:b/>
                <w:bCs/>
                <w:sz w:val="18"/>
                <w:szCs w:val="18"/>
              </w:rPr>
              <w:t>PREÇO 02</w:t>
            </w:r>
          </w:p>
        </w:tc>
        <w:tc>
          <w:tcPr>
            <w:tcW w:w="1900" w:type="pct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2D22ED" w:rsidRDefault="002D22ED" w:rsidP="002D22ED">
            <w:pPr>
              <w:spacing w:before="60"/>
              <w:jc w:val="center"/>
              <w:rPr>
                <w:rFonts w:ascii="Calibri" w:hAnsi="Calibri"/>
                <w:b/>
                <w:bCs/>
              </w:rPr>
            </w:pPr>
            <w:r w:rsidRPr="000F7FB8">
              <w:rPr>
                <w:rFonts w:ascii="Calibri" w:hAnsi="Calibri"/>
                <w:b/>
                <w:bCs/>
                <w:sz w:val="18"/>
                <w:szCs w:val="18"/>
              </w:rPr>
              <w:t>PREÇO 03</w:t>
            </w:r>
          </w:p>
        </w:tc>
      </w:tr>
      <w:tr w:rsidR="002D22ED" w:rsidTr="002D22ED">
        <w:tc>
          <w:tcPr>
            <w:tcW w:w="1578" w:type="pct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2D22ED" w:rsidRPr="00FE066B" w:rsidRDefault="002D22ED" w:rsidP="002D22ED">
            <w:pPr>
              <w:pStyle w:val="Contedodatabela"/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</w:pPr>
            <w:r w:rsidRPr="00FE066B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Órgão:</w:t>
            </w:r>
          </w:p>
          <w:p w:rsidR="002D22ED" w:rsidRPr="00FE066B" w:rsidRDefault="002D22ED" w:rsidP="002D22ED">
            <w:pPr>
              <w:pStyle w:val="Contedodatabela"/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</w:pPr>
            <w:r w:rsidRPr="00FE066B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 xml:space="preserve">UASG: </w:t>
            </w:r>
          </w:p>
          <w:p w:rsidR="002D22ED" w:rsidRPr="00FE066B" w:rsidRDefault="002D22ED" w:rsidP="002D22ED">
            <w:pPr>
              <w:pStyle w:val="Contedodatabela"/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Licitação</w:t>
            </w:r>
            <w:r w:rsidRPr="00FE066B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 xml:space="preserve"> nº</w:t>
            </w:r>
          </w:p>
          <w:p w:rsidR="002D22ED" w:rsidRDefault="002D22ED" w:rsidP="002D22ED">
            <w:pPr>
              <w:pStyle w:val="Contedodatabela"/>
            </w:pPr>
            <w:proofErr w:type="gramStart"/>
            <w:r w:rsidRPr="00FE066B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Item :</w:t>
            </w:r>
            <w:proofErr w:type="gramEnd"/>
          </w:p>
        </w:tc>
        <w:tc>
          <w:tcPr>
            <w:tcW w:w="1522" w:type="pct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2D22ED" w:rsidRPr="00FE066B" w:rsidRDefault="002D22ED" w:rsidP="002D22ED">
            <w:pPr>
              <w:pStyle w:val="Contedodatabela"/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</w:pPr>
            <w:r w:rsidRPr="00FE066B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Órgão:</w:t>
            </w:r>
          </w:p>
          <w:p w:rsidR="002D22ED" w:rsidRPr="00FE066B" w:rsidRDefault="002D22ED" w:rsidP="002D22ED">
            <w:pPr>
              <w:pStyle w:val="Contedodatabela"/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</w:pPr>
            <w:r w:rsidRPr="00FE066B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 xml:space="preserve">UASG: </w:t>
            </w:r>
          </w:p>
          <w:p w:rsidR="002D22ED" w:rsidRPr="00FE066B" w:rsidRDefault="002D22ED" w:rsidP="002D22ED">
            <w:pPr>
              <w:pStyle w:val="Contedodatabela"/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Licitação</w:t>
            </w:r>
            <w:r w:rsidRPr="00FE066B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 xml:space="preserve"> nº</w:t>
            </w:r>
          </w:p>
          <w:p w:rsidR="002D22ED" w:rsidRDefault="002D22ED" w:rsidP="002D22ED">
            <w:pPr>
              <w:pStyle w:val="Contedodatabela"/>
            </w:pPr>
            <w:proofErr w:type="gramStart"/>
            <w:r w:rsidRPr="00FE066B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Item :</w:t>
            </w:r>
            <w:proofErr w:type="gramEnd"/>
          </w:p>
        </w:tc>
        <w:tc>
          <w:tcPr>
            <w:tcW w:w="1900" w:type="pct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2D22ED" w:rsidRPr="00FE066B" w:rsidRDefault="002D22ED" w:rsidP="002D22ED">
            <w:pPr>
              <w:pStyle w:val="Contedodatabela"/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</w:pPr>
            <w:r w:rsidRPr="00FE066B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Órgão:</w:t>
            </w:r>
          </w:p>
          <w:p w:rsidR="002D22ED" w:rsidRPr="00FE066B" w:rsidRDefault="002D22ED" w:rsidP="002D22ED">
            <w:pPr>
              <w:pStyle w:val="Contedodatabela"/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</w:pPr>
            <w:r w:rsidRPr="00FE066B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 xml:space="preserve">UASG: </w:t>
            </w:r>
          </w:p>
          <w:p w:rsidR="002D22ED" w:rsidRPr="00FE066B" w:rsidRDefault="002D22ED" w:rsidP="002D22ED">
            <w:pPr>
              <w:pStyle w:val="Contedodatabela"/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Licitação</w:t>
            </w:r>
            <w:r w:rsidRPr="00FE066B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 xml:space="preserve"> nº</w:t>
            </w:r>
          </w:p>
          <w:p w:rsidR="002D22ED" w:rsidRDefault="002D22ED" w:rsidP="002D22ED">
            <w:pPr>
              <w:pStyle w:val="Contedodatabela"/>
            </w:pPr>
            <w:proofErr w:type="gramStart"/>
            <w:r w:rsidRPr="00FE066B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Item :</w:t>
            </w:r>
            <w:proofErr w:type="gramEnd"/>
          </w:p>
        </w:tc>
      </w:tr>
    </w:tbl>
    <w:p w:rsidR="002D22ED" w:rsidRDefault="002D22ED" w:rsidP="002D22ED">
      <w:pPr>
        <w:spacing w:after="57" w:line="100" w:lineRule="atLeast"/>
      </w:pPr>
    </w:p>
    <w:p w:rsidR="002D22ED" w:rsidRDefault="002D22ED" w:rsidP="002D22ED">
      <w:pPr>
        <w:spacing w:after="57" w:line="100" w:lineRule="atLeast"/>
      </w:pPr>
      <w:r>
        <w:t>Ao utilizar os parâmetros estabelecidos nos incisos III e IV preencher essa tabela.</w:t>
      </w:r>
    </w:p>
    <w:tbl>
      <w:tblPr>
        <w:tblW w:w="5410" w:type="pct"/>
        <w:tblInd w:w="-96" w:type="dxa"/>
        <w:tblBorders>
          <w:top w:val="single" w:sz="4" w:space="0" w:color="00000A"/>
          <w:left w:val="single" w:sz="4" w:space="0" w:color="00000A"/>
          <w:bottom w:val="single" w:sz="2" w:space="0" w:color="000001"/>
          <w:right w:val="single" w:sz="4" w:space="0" w:color="00000A"/>
          <w:insideH w:val="single" w:sz="2" w:space="0" w:color="000001"/>
          <w:insideV w:val="single" w:sz="4" w:space="0" w:color="00000A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31"/>
        <w:gridCol w:w="3021"/>
        <w:gridCol w:w="3771"/>
      </w:tblGrid>
      <w:tr w:rsidR="002D22ED" w:rsidTr="00E740A7">
        <w:tc>
          <w:tcPr>
            <w:tcW w:w="1578" w:type="pct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2D22ED" w:rsidRDefault="002D22ED" w:rsidP="002D22ED">
            <w:pPr>
              <w:spacing w:before="60"/>
              <w:jc w:val="center"/>
              <w:rPr>
                <w:rFonts w:ascii="Calibri" w:hAnsi="Calibri"/>
                <w:b/>
                <w:bCs/>
              </w:rPr>
            </w:pPr>
            <w:r w:rsidRPr="000F7FB8">
              <w:rPr>
                <w:rFonts w:ascii="Calibri" w:hAnsi="Calibri"/>
                <w:b/>
                <w:bCs/>
                <w:sz w:val="18"/>
                <w:szCs w:val="18"/>
              </w:rPr>
              <w:t xml:space="preserve">PREÇO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22" w:type="pct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2D22ED" w:rsidRDefault="002D22ED" w:rsidP="002D22ED">
            <w:pPr>
              <w:spacing w:before="60"/>
              <w:jc w:val="center"/>
              <w:rPr>
                <w:rFonts w:ascii="Calibri" w:hAnsi="Calibri"/>
                <w:b/>
                <w:bCs/>
              </w:rPr>
            </w:pPr>
            <w:r w:rsidRPr="000F7FB8">
              <w:rPr>
                <w:rFonts w:ascii="Calibri" w:hAnsi="Calibri"/>
                <w:b/>
                <w:bCs/>
                <w:sz w:val="18"/>
                <w:szCs w:val="18"/>
              </w:rPr>
              <w:t>PREÇO 02</w:t>
            </w:r>
          </w:p>
        </w:tc>
        <w:tc>
          <w:tcPr>
            <w:tcW w:w="1900" w:type="pct"/>
            <w:tcBorders>
              <w:top w:val="single" w:sz="4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2D22ED" w:rsidRDefault="002D22ED" w:rsidP="002D22ED">
            <w:pPr>
              <w:spacing w:before="60"/>
              <w:jc w:val="center"/>
              <w:rPr>
                <w:rFonts w:ascii="Calibri" w:hAnsi="Calibri"/>
                <w:b/>
                <w:bCs/>
              </w:rPr>
            </w:pPr>
            <w:r w:rsidRPr="000F7FB8">
              <w:rPr>
                <w:rFonts w:ascii="Calibri" w:hAnsi="Calibri"/>
                <w:b/>
                <w:bCs/>
                <w:sz w:val="18"/>
                <w:szCs w:val="18"/>
              </w:rPr>
              <w:t>PREÇO 03</w:t>
            </w:r>
          </w:p>
        </w:tc>
        <w:bookmarkStart w:id="2" w:name="_GoBack11"/>
        <w:bookmarkEnd w:id="2"/>
      </w:tr>
      <w:tr w:rsidR="002D22ED" w:rsidTr="00E740A7">
        <w:tc>
          <w:tcPr>
            <w:tcW w:w="1578" w:type="pct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2D22ED" w:rsidRDefault="002D22ED" w:rsidP="002D22ED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 w:rsidRPr="000F7FB8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Nome/Razão Social</w:t>
            </w:r>
          </w:p>
          <w:p w:rsidR="002D22ED" w:rsidRDefault="002D22ED" w:rsidP="002D22ED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 w:rsidRPr="000F7FB8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CNPJ:</w:t>
            </w:r>
          </w:p>
          <w:p w:rsidR="002D22ED" w:rsidRPr="00731C99" w:rsidRDefault="002D22ED" w:rsidP="002D22ED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 w:rsidRPr="000F7FB8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Data do orçamento:</w:t>
            </w:r>
          </w:p>
        </w:tc>
        <w:tc>
          <w:tcPr>
            <w:tcW w:w="1522" w:type="pct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2D22ED" w:rsidRDefault="002D22ED" w:rsidP="002D22ED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 w:rsidRPr="000F7FB8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Nome/Razão Social</w:t>
            </w:r>
          </w:p>
          <w:p w:rsidR="002D22ED" w:rsidRDefault="002D22ED" w:rsidP="002D22ED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 w:rsidRPr="000F7FB8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CNPJ:</w:t>
            </w:r>
          </w:p>
          <w:p w:rsidR="002D22ED" w:rsidRPr="00731C99" w:rsidRDefault="002D22ED" w:rsidP="002D22ED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 w:rsidRPr="000F7FB8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Data do orçamento:</w:t>
            </w:r>
          </w:p>
        </w:tc>
        <w:tc>
          <w:tcPr>
            <w:tcW w:w="1900" w:type="pct"/>
            <w:tcBorders>
              <w:top w:val="single" w:sz="2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6" w:type="dxa"/>
            </w:tcMar>
          </w:tcPr>
          <w:p w:rsidR="002D22ED" w:rsidRDefault="002D22ED" w:rsidP="002D22ED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 w:rsidRPr="000F7FB8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Nome/Razão Social</w:t>
            </w:r>
          </w:p>
          <w:p w:rsidR="002D22ED" w:rsidRDefault="002D22ED" w:rsidP="002D22ED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 w:rsidRPr="000F7FB8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CNPJ:</w:t>
            </w:r>
          </w:p>
          <w:p w:rsidR="002D22ED" w:rsidRPr="00731C99" w:rsidRDefault="002D22ED" w:rsidP="002D22ED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 w:rsidRPr="000F7FB8">
              <w:rPr>
                <w:rFonts w:ascii="Calibri" w:eastAsia="Times New Roman" w:hAnsi="Calibri" w:cs="Times New Roman"/>
                <w:color w:val="00000A"/>
                <w:sz w:val="18"/>
                <w:szCs w:val="18"/>
              </w:rPr>
              <w:t>Data do orçamento:</w:t>
            </w:r>
          </w:p>
        </w:tc>
      </w:tr>
    </w:tbl>
    <w:p w:rsidR="002D22ED" w:rsidRPr="004B22DE" w:rsidRDefault="002D22ED" w:rsidP="002D22ED">
      <w:pPr>
        <w:spacing w:after="57" w:line="100" w:lineRule="atLeast"/>
        <w:rPr>
          <w:rFonts w:ascii="Open Sans" w:hAnsi="Open Sans" w:cs="Open Sans"/>
          <w:b/>
          <w:bCs/>
          <w:sz w:val="18"/>
          <w:szCs w:val="18"/>
        </w:rPr>
      </w:pPr>
    </w:p>
    <w:tbl>
      <w:tblPr>
        <w:tblW w:w="9923" w:type="dxa"/>
        <w:tblInd w:w="-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2D22ED" w:rsidRPr="004B22DE" w:rsidTr="005D7AFE">
        <w:tc>
          <w:tcPr>
            <w:tcW w:w="9923" w:type="dxa"/>
            <w:shd w:val="clear" w:color="auto" w:fill="92D050"/>
          </w:tcPr>
          <w:p w:rsidR="002D22ED" w:rsidRPr="004B22DE" w:rsidRDefault="002D22ED" w:rsidP="002D22ED">
            <w:pPr>
              <w:pStyle w:val="Contedodatabela"/>
              <w:numPr>
                <w:ilvl w:val="0"/>
                <w:numId w:val="2"/>
              </w:numPr>
              <w:jc w:val="both"/>
            </w:pPr>
            <w:r w:rsidRPr="004B22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Responsabilidade pelo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estudo</w:t>
            </w:r>
          </w:p>
        </w:tc>
      </w:tr>
      <w:tr w:rsidR="002D22ED" w:rsidRPr="004B22DE" w:rsidTr="00E740A7">
        <w:trPr>
          <w:trHeight w:val="46"/>
        </w:trPr>
        <w:tc>
          <w:tcPr>
            <w:tcW w:w="9923" w:type="dxa"/>
            <w:shd w:val="clear" w:color="auto" w:fill="auto"/>
          </w:tcPr>
          <w:p w:rsidR="002D22ED" w:rsidRPr="00094147" w:rsidRDefault="002D22ED" w:rsidP="002D22ED">
            <w:pPr>
              <w:pStyle w:val="Contedodatabela"/>
              <w:snapToGrid w:val="0"/>
              <w:jc w:val="both"/>
              <w:rPr>
                <w:rFonts w:ascii="Open Sans" w:hAnsi="Open Sans" w:cs="Open Sans" w:hint="eastAsia"/>
                <w:b/>
                <w:bCs/>
                <w:sz w:val="18"/>
                <w:szCs w:val="16"/>
              </w:rPr>
            </w:pPr>
            <w:r w:rsidRPr="00094147">
              <w:rPr>
                <w:rFonts w:ascii="Open Sans" w:hAnsi="Open Sans" w:cs="Open Sans"/>
                <w:b/>
                <w:bCs/>
                <w:sz w:val="18"/>
                <w:szCs w:val="16"/>
              </w:rPr>
              <w:t>Atesto ter atentado aos seguintes aspectos durante a formalização dos preços:</w:t>
            </w:r>
          </w:p>
          <w:p w:rsidR="002D22ED" w:rsidRPr="00094147" w:rsidRDefault="002D22ED" w:rsidP="002D22ED">
            <w:pPr>
              <w:pStyle w:val="Contedodatabela"/>
              <w:numPr>
                <w:ilvl w:val="0"/>
                <w:numId w:val="3"/>
              </w:numPr>
              <w:snapToGrid w:val="0"/>
              <w:jc w:val="both"/>
              <w:rPr>
                <w:rFonts w:ascii="Open Sans" w:hAnsi="Open Sans" w:cs="Open Sans" w:hint="eastAsia"/>
                <w:b/>
                <w:bCs/>
                <w:sz w:val="18"/>
                <w:szCs w:val="16"/>
              </w:rPr>
            </w:pPr>
            <w:r w:rsidRPr="00094147">
              <w:rPr>
                <w:rFonts w:ascii="Open Sans" w:hAnsi="Open Sans" w:cs="Open Sans"/>
                <w:b/>
                <w:bCs/>
                <w:sz w:val="18"/>
                <w:szCs w:val="16"/>
              </w:rPr>
              <w:t>Empresas pesquisadas são do ramo pertinente ao objeto (Acórdão TCU 1.782/2010 – Plenário);</w:t>
            </w:r>
          </w:p>
          <w:p w:rsidR="002D22ED" w:rsidRPr="00094147" w:rsidRDefault="002D22ED" w:rsidP="002D22ED">
            <w:pPr>
              <w:pStyle w:val="Contedodatabela"/>
              <w:numPr>
                <w:ilvl w:val="0"/>
                <w:numId w:val="3"/>
              </w:numPr>
              <w:snapToGrid w:val="0"/>
              <w:jc w:val="both"/>
              <w:rPr>
                <w:rFonts w:ascii="Open Sans" w:hAnsi="Open Sans" w:cs="Open Sans" w:hint="eastAsia"/>
                <w:b/>
                <w:bCs/>
                <w:sz w:val="18"/>
                <w:szCs w:val="16"/>
              </w:rPr>
            </w:pPr>
            <w:r w:rsidRPr="00094147">
              <w:rPr>
                <w:rFonts w:ascii="Open Sans" w:hAnsi="Open Sans" w:cs="Open Sans"/>
                <w:b/>
                <w:bCs/>
                <w:sz w:val="18"/>
                <w:szCs w:val="16"/>
              </w:rPr>
              <w:t>Empresas pesquisadas não possuem vínculos entre si (Acórdão TCU 4.561/2010 – 1ª Câmara);</w:t>
            </w:r>
          </w:p>
          <w:p w:rsidR="002D22ED" w:rsidRPr="00094147" w:rsidRDefault="002D22ED" w:rsidP="002D22ED">
            <w:pPr>
              <w:pStyle w:val="Contedodatabela"/>
              <w:numPr>
                <w:ilvl w:val="0"/>
                <w:numId w:val="3"/>
              </w:numPr>
              <w:snapToGrid w:val="0"/>
              <w:jc w:val="both"/>
              <w:rPr>
                <w:rFonts w:ascii="Open Sans" w:hAnsi="Open Sans" w:cs="Open Sans" w:hint="eastAsia"/>
                <w:b/>
                <w:bCs/>
                <w:sz w:val="18"/>
                <w:szCs w:val="16"/>
              </w:rPr>
            </w:pPr>
            <w:r w:rsidRPr="00094147">
              <w:rPr>
                <w:rFonts w:ascii="Open Sans" w:hAnsi="Open Sans" w:cs="Open Sans"/>
                <w:b/>
                <w:bCs/>
                <w:sz w:val="18"/>
                <w:szCs w:val="16"/>
              </w:rPr>
              <w:t>Caracterização completa das fontes consultadas (Acórdão TCU 3.889/2009 – 1ª Câmara);</w:t>
            </w:r>
          </w:p>
          <w:p w:rsidR="002D22ED" w:rsidRPr="00094147" w:rsidRDefault="002D22ED" w:rsidP="002D22ED">
            <w:pPr>
              <w:pStyle w:val="Contedodatabela"/>
              <w:numPr>
                <w:ilvl w:val="0"/>
                <w:numId w:val="3"/>
              </w:numPr>
              <w:snapToGrid w:val="0"/>
              <w:jc w:val="both"/>
              <w:rPr>
                <w:rFonts w:ascii="Open Sans" w:hAnsi="Open Sans" w:cs="Open Sans" w:hint="eastAsia"/>
                <w:b/>
                <w:bCs/>
                <w:sz w:val="18"/>
                <w:szCs w:val="16"/>
              </w:rPr>
            </w:pPr>
            <w:r w:rsidRPr="00094147">
              <w:rPr>
                <w:rFonts w:ascii="Open Sans" w:hAnsi="Open Sans" w:cs="Open Sans"/>
                <w:b/>
                <w:bCs/>
                <w:sz w:val="18"/>
                <w:szCs w:val="16"/>
              </w:rPr>
              <w:t>Indicação fundamentada e detalhada das referências utilizadas (Acórdão TCU 1.330/2008 – Plenário);</w:t>
            </w:r>
          </w:p>
          <w:p w:rsidR="002D22ED" w:rsidRDefault="002D22ED" w:rsidP="002D22ED">
            <w:pPr>
              <w:pStyle w:val="Contedodatabela"/>
              <w:snapToGrid w:val="0"/>
              <w:jc w:val="center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</w:p>
          <w:p w:rsidR="002D22ED" w:rsidRPr="004B22DE" w:rsidRDefault="002D22ED" w:rsidP="002D22ED">
            <w:pPr>
              <w:pStyle w:val="Contedodatabela"/>
              <w:snapToGrid w:val="0"/>
              <w:rPr>
                <w:rFonts w:ascii="Open Sans" w:hAnsi="Open Sans" w:cs="Open Sans" w:hint="eastAsia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Local e Data</w:t>
            </w:r>
          </w:p>
        </w:tc>
      </w:tr>
      <w:tr w:rsidR="002D22ED" w:rsidRPr="004B22DE" w:rsidTr="00E740A7">
        <w:trPr>
          <w:trHeight w:val="467"/>
        </w:trPr>
        <w:tc>
          <w:tcPr>
            <w:tcW w:w="9923" w:type="dxa"/>
            <w:shd w:val="clear" w:color="auto" w:fill="auto"/>
          </w:tcPr>
          <w:p w:rsidR="002D22ED" w:rsidRPr="00094147" w:rsidRDefault="002D22ED" w:rsidP="002D22ED">
            <w:pPr>
              <w:pStyle w:val="Contedodatabela"/>
              <w:jc w:val="center"/>
              <w:rPr>
                <w:rFonts w:ascii="Open Sans" w:hAnsi="Open Sans" w:cs="Open Sans" w:hint="eastAsia"/>
                <w:b/>
                <w:bCs/>
                <w:sz w:val="18"/>
                <w:szCs w:val="16"/>
              </w:rPr>
            </w:pPr>
          </w:p>
          <w:p w:rsidR="005D7AFE" w:rsidRDefault="005D7AFE" w:rsidP="002D22ED">
            <w:pPr>
              <w:pStyle w:val="Contedodatabela"/>
              <w:jc w:val="center"/>
              <w:rPr>
                <w:rFonts w:ascii="Open Sans" w:hAnsi="Open Sans" w:cs="Open Sans" w:hint="eastAsia"/>
                <w:b/>
                <w:bCs/>
                <w:sz w:val="18"/>
                <w:szCs w:val="16"/>
              </w:rPr>
            </w:pPr>
            <w:r w:rsidRPr="00094147">
              <w:rPr>
                <w:rFonts w:ascii="Open Sans" w:hAnsi="Open Sans" w:cs="Open Sans"/>
                <w:b/>
                <w:bCs/>
                <w:sz w:val="18"/>
                <w:szCs w:val="16"/>
              </w:rPr>
              <w:t xml:space="preserve">Responsável </w:t>
            </w:r>
            <w:r w:rsidRPr="00094147">
              <w:rPr>
                <w:rFonts w:ascii="Open Sans" w:hAnsi="Open Sans" w:cs="Open Sans" w:hint="eastAsia"/>
                <w:b/>
                <w:bCs/>
                <w:sz w:val="18"/>
                <w:szCs w:val="16"/>
              </w:rPr>
              <w:t>(</w:t>
            </w:r>
            <w:proofErr w:type="spellStart"/>
            <w:r w:rsidR="002D22ED" w:rsidRPr="00094147">
              <w:rPr>
                <w:rFonts w:ascii="Open Sans" w:hAnsi="Open Sans" w:cs="Open Sans"/>
                <w:b/>
                <w:bCs/>
                <w:sz w:val="18"/>
                <w:szCs w:val="16"/>
              </w:rPr>
              <w:t>is</w:t>
            </w:r>
            <w:proofErr w:type="spellEnd"/>
            <w:r w:rsidR="002D22ED" w:rsidRPr="00094147">
              <w:rPr>
                <w:rFonts w:ascii="Open Sans" w:hAnsi="Open Sans" w:cs="Open Sans"/>
                <w:b/>
                <w:bCs/>
                <w:sz w:val="18"/>
                <w:szCs w:val="16"/>
              </w:rPr>
              <w:t xml:space="preserve">) pela elaboração do estudo </w:t>
            </w:r>
          </w:p>
          <w:p w:rsidR="002D22ED" w:rsidRPr="00094147" w:rsidRDefault="002D22ED" w:rsidP="002D22ED">
            <w:pPr>
              <w:pStyle w:val="Contedodatabela"/>
              <w:jc w:val="center"/>
              <w:rPr>
                <w:rFonts w:ascii="Open Sans" w:hAnsi="Open Sans" w:cs="Open Sans" w:hint="eastAsia"/>
                <w:b/>
                <w:bCs/>
                <w:sz w:val="18"/>
                <w:szCs w:val="16"/>
              </w:rPr>
            </w:pPr>
            <w:r w:rsidRPr="00094147">
              <w:rPr>
                <w:rFonts w:ascii="Open Sans" w:hAnsi="Open Sans" w:cs="Open Sans"/>
                <w:b/>
                <w:bCs/>
                <w:sz w:val="18"/>
                <w:szCs w:val="16"/>
              </w:rPr>
              <w:t>(identificação e assinatura)</w:t>
            </w:r>
          </w:p>
        </w:tc>
      </w:tr>
      <w:tr w:rsidR="002D22ED" w:rsidRPr="004B22DE" w:rsidTr="005D7AFE">
        <w:tc>
          <w:tcPr>
            <w:tcW w:w="9923" w:type="dxa"/>
            <w:shd w:val="clear" w:color="auto" w:fill="92D050"/>
          </w:tcPr>
          <w:p w:rsidR="002D22ED" w:rsidRPr="004B22DE" w:rsidRDefault="002D22ED" w:rsidP="002D22ED">
            <w:pPr>
              <w:pStyle w:val="Contedodatabela"/>
              <w:numPr>
                <w:ilvl w:val="0"/>
                <w:numId w:val="3"/>
              </w:numPr>
              <w:jc w:val="both"/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Homologação</w:t>
            </w:r>
            <w:r w:rsidRPr="004B22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d</w:t>
            </w:r>
            <w:r w:rsidRPr="004B22DE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estudo</w:t>
            </w:r>
          </w:p>
        </w:tc>
      </w:tr>
      <w:tr w:rsidR="002D22ED" w:rsidRPr="004B22DE" w:rsidTr="00E740A7">
        <w:trPr>
          <w:trHeight w:val="46"/>
        </w:trPr>
        <w:tc>
          <w:tcPr>
            <w:tcW w:w="9923" w:type="dxa"/>
            <w:shd w:val="clear" w:color="auto" w:fill="auto"/>
          </w:tcPr>
          <w:p w:rsidR="002D22ED" w:rsidRPr="00094147" w:rsidRDefault="002D22ED" w:rsidP="002D22ED">
            <w:pPr>
              <w:pStyle w:val="Contedodatabela"/>
              <w:snapToGrid w:val="0"/>
              <w:jc w:val="both"/>
              <w:rPr>
                <w:rFonts w:ascii="Open Sans" w:hAnsi="Open Sans" w:cs="Open Sans" w:hint="eastAsia"/>
                <w:b/>
                <w:bCs/>
                <w:sz w:val="18"/>
                <w:szCs w:val="16"/>
              </w:rPr>
            </w:pPr>
            <w:r w:rsidRPr="00094147">
              <w:rPr>
                <w:rFonts w:ascii="Open Sans" w:hAnsi="Open Sans" w:cs="Open Sans"/>
                <w:b/>
                <w:bCs/>
                <w:sz w:val="18"/>
                <w:szCs w:val="16"/>
              </w:rPr>
              <w:t>Conforme o disposto na IN SLTI MPOG n.º 05/2014, ratifico os parâmetros e metodologia adotados.</w:t>
            </w:r>
          </w:p>
          <w:p w:rsidR="002D22ED" w:rsidRPr="00094147" w:rsidRDefault="002D22ED" w:rsidP="002D22ED">
            <w:pPr>
              <w:pStyle w:val="Contedodatabela"/>
              <w:snapToGrid w:val="0"/>
              <w:jc w:val="center"/>
              <w:rPr>
                <w:rFonts w:ascii="Open Sans" w:hAnsi="Open Sans" w:cs="Open Sans" w:hint="eastAsia"/>
                <w:b/>
                <w:bCs/>
                <w:sz w:val="18"/>
                <w:szCs w:val="16"/>
              </w:rPr>
            </w:pPr>
          </w:p>
          <w:p w:rsidR="002D22ED" w:rsidRPr="00094147" w:rsidRDefault="002D22ED" w:rsidP="002D22ED">
            <w:pPr>
              <w:pStyle w:val="Contedodatabela"/>
              <w:snapToGrid w:val="0"/>
              <w:rPr>
                <w:rFonts w:ascii="Open Sans" w:hAnsi="Open Sans" w:cs="Open Sans" w:hint="eastAsia"/>
                <w:sz w:val="18"/>
                <w:szCs w:val="18"/>
              </w:rPr>
            </w:pPr>
            <w:r w:rsidRPr="00094147">
              <w:rPr>
                <w:rFonts w:ascii="Open Sans" w:hAnsi="Open Sans" w:cs="Open Sans"/>
                <w:b/>
                <w:bCs/>
                <w:sz w:val="18"/>
                <w:szCs w:val="16"/>
              </w:rPr>
              <w:t>Local e Data</w:t>
            </w:r>
          </w:p>
        </w:tc>
      </w:tr>
      <w:tr w:rsidR="002D22ED" w:rsidRPr="004B22DE" w:rsidTr="00E740A7">
        <w:trPr>
          <w:trHeight w:val="759"/>
        </w:trPr>
        <w:tc>
          <w:tcPr>
            <w:tcW w:w="9923" w:type="dxa"/>
            <w:shd w:val="clear" w:color="auto" w:fill="auto"/>
          </w:tcPr>
          <w:p w:rsidR="002D22ED" w:rsidRPr="00094147" w:rsidRDefault="002D22ED" w:rsidP="002D22ED">
            <w:pPr>
              <w:pStyle w:val="Contedodatabela"/>
              <w:jc w:val="center"/>
              <w:rPr>
                <w:rFonts w:ascii="Open Sans" w:hAnsi="Open Sans" w:cs="Open Sans" w:hint="eastAsia"/>
                <w:b/>
                <w:bCs/>
                <w:sz w:val="18"/>
                <w:szCs w:val="16"/>
              </w:rPr>
            </w:pPr>
          </w:p>
          <w:p w:rsidR="002D22ED" w:rsidRPr="00094147" w:rsidRDefault="002D22ED" w:rsidP="002D22ED">
            <w:pPr>
              <w:pStyle w:val="Contedodatabela"/>
              <w:jc w:val="center"/>
              <w:rPr>
                <w:rFonts w:ascii="Open Sans" w:hAnsi="Open Sans" w:cs="Open Sans" w:hint="eastAsia"/>
                <w:b/>
                <w:bCs/>
                <w:sz w:val="18"/>
                <w:szCs w:val="16"/>
              </w:rPr>
            </w:pPr>
          </w:p>
          <w:p w:rsidR="002D22ED" w:rsidRPr="00094147" w:rsidRDefault="002D22ED" w:rsidP="00E740A7">
            <w:pPr>
              <w:pStyle w:val="Contedodatabela"/>
              <w:jc w:val="center"/>
              <w:rPr>
                <w:sz w:val="18"/>
              </w:rPr>
            </w:pPr>
            <w:r w:rsidRPr="00094147">
              <w:rPr>
                <w:rFonts w:ascii="Open Sans" w:hAnsi="Open Sans" w:cs="Open Sans"/>
                <w:b/>
                <w:bCs/>
                <w:sz w:val="18"/>
                <w:szCs w:val="16"/>
              </w:rPr>
              <w:t xml:space="preserve">Chefe do Departamento de </w:t>
            </w:r>
            <w:r w:rsidR="00E740A7">
              <w:rPr>
                <w:rFonts w:ascii="Open Sans" w:hAnsi="Open Sans" w:cs="Open Sans"/>
                <w:b/>
                <w:bCs/>
                <w:sz w:val="18"/>
                <w:szCs w:val="16"/>
              </w:rPr>
              <w:t>Administração e Planejamento</w:t>
            </w:r>
          </w:p>
        </w:tc>
      </w:tr>
    </w:tbl>
    <w:p w:rsidR="00F66FD2" w:rsidRDefault="00F66FD2">
      <w:pPr>
        <w:widowControl w:val="0"/>
        <w:spacing w:after="120" w:line="276" w:lineRule="auto"/>
        <w:jc w:val="center"/>
        <w:rPr>
          <w:rFonts w:eastAsia="Arial"/>
          <w:b/>
        </w:rPr>
      </w:pPr>
    </w:p>
    <w:p w:rsidR="00E740A7" w:rsidRDefault="00E740A7">
      <w:pPr>
        <w:widowControl w:val="0"/>
        <w:spacing w:after="120" w:line="276" w:lineRule="auto"/>
        <w:jc w:val="center"/>
        <w:rPr>
          <w:rFonts w:eastAsia="Arial"/>
          <w:b/>
        </w:rPr>
      </w:pPr>
    </w:p>
    <w:p w:rsidR="006325C7" w:rsidRPr="002D22ED" w:rsidRDefault="006325C7">
      <w:pPr>
        <w:widowControl w:val="0"/>
        <w:spacing w:after="120" w:line="276" w:lineRule="auto"/>
        <w:jc w:val="center"/>
        <w:rPr>
          <w:rFonts w:eastAsia="Arial"/>
          <w:b/>
        </w:rPr>
      </w:pPr>
    </w:p>
    <w:sectPr w:rsidR="006325C7" w:rsidRPr="002D22ED">
      <w:headerReference w:type="default" r:id="rId9"/>
      <w:footerReference w:type="default" r:id="rId10"/>
      <w:type w:val="continuous"/>
      <w:pgSz w:w="11906" w:h="16838"/>
      <w:pgMar w:top="1701" w:right="1418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31" w:rsidRDefault="00E37331">
      <w:r>
        <w:separator/>
      </w:r>
    </w:p>
  </w:endnote>
  <w:endnote w:type="continuationSeparator" w:id="0">
    <w:p w:rsidR="00E37331" w:rsidRDefault="00E3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ED" w:rsidRDefault="002D22ED">
    <w:pPr>
      <w:widowControl w:val="0"/>
      <w:pBdr>
        <w:top w:val="nil"/>
        <w:left w:val="nil"/>
        <w:bottom w:val="nil"/>
        <w:right w:val="nil"/>
        <w:between w:val="nil"/>
      </w:pBdr>
      <w:spacing w:line="480" w:lineRule="auto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INSTRUÇÃO NORMATIVA IFMT Nº </w:t>
    </w:r>
    <w:r w:rsidR="009409E1">
      <w:rPr>
        <w:rFonts w:ascii="Arial" w:eastAsia="Arial" w:hAnsi="Arial" w:cs="Arial"/>
        <w:color w:val="000000"/>
        <w:sz w:val="18"/>
        <w:szCs w:val="18"/>
      </w:rPr>
      <w:t>02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 w:rsidR="009409E1">
      <w:rPr>
        <w:rFonts w:ascii="Arial" w:eastAsia="Arial" w:hAnsi="Arial" w:cs="Arial"/>
        <w:color w:val="000000"/>
        <w:sz w:val="18"/>
        <w:szCs w:val="18"/>
      </w:rPr>
      <w:t xml:space="preserve">de 10 de junho de 2019                   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tab/>
      <w:t xml:space="preserve"> 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E6365">
      <w:rPr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31" w:rsidRDefault="00E37331">
      <w:r>
        <w:separator/>
      </w:r>
    </w:p>
  </w:footnote>
  <w:footnote w:type="continuationSeparator" w:id="0">
    <w:p w:rsidR="00E37331" w:rsidRDefault="00E3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ED" w:rsidRDefault="002D22E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6F5D5763" wp14:editId="6AEE6EC4">
          <wp:extent cx="617855" cy="6248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855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D22ED" w:rsidRDefault="002D22ED">
    <w:pPr>
      <w:keepNext/>
      <w:pBdr>
        <w:top w:val="nil"/>
        <w:left w:val="nil"/>
        <w:bottom w:val="nil"/>
        <w:right w:val="nil"/>
        <w:between w:val="nil"/>
      </w:pBdr>
      <w:spacing w:before="57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SERVIÇO PÚBLICO FEDERAL</w:t>
    </w:r>
  </w:p>
  <w:p w:rsidR="002D22ED" w:rsidRDefault="002D22E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</w:rPr>
      <w:t>MEC – SETEC</w:t>
    </w:r>
    <w:r>
      <w:rPr>
        <w:rFonts w:ascii="Arial" w:eastAsia="Arial" w:hAnsi="Arial" w:cs="Arial"/>
        <w:sz w:val="18"/>
        <w:szCs w:val="18"/>
      </w:rPr>
      <w:br/>
      <w:t>INSTITUTO FEDERAL DE EDUCAÇÃO, CIÊNCIA E TECNOLOGIA DE MATO GROSSO</w:t>
    </w:r>
    <w:r>
      <w:rPr>
        <w:rFonts w:ascii="Arial" w:eastAsia="Arial" w:hAnsi="Arial" w:cs="Arial"/>
        <w:sz w:val="18"/>
        <w:szCs w:val="18"/>
      </w:rPr>
      <w:br/>
    </w:r>
    <w:proofErr w:type="gramStart"/>
    <w:r>
      <w:rPr>
        <w:rFonts w:ascii="Arial" w:eastAsia="Arial" w:hAnsi="Arial" w:cs="Arial"/>
        <w:sz w:val="18"/>
        <w:szCs w:val="18"/>
      </w:rPr>
      <w:t>REITORIA</w:t>
    </w:r>
    <w:proofErr w:type="gramEnd"/>
  </w:p>
  <w:p w:rsidR="002D22ED" w:rsidRDefault="002D22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92A"/>
    <w:multiLevelType w:val="hybridMultilevel"/>
    <w:tmpl w:val="661EF090"/>
    <w:lvl w:ilvl="0" w:tplc="A0A8F650">
      <w:start w:val="1"/>
      <w:numFmt w:val="decimal"/>
      <w:lvlText w:val="%1."/>
      <w:lvlJc w:val="left"/>
      <w:pPr>
        <w:ind w:left="720" w:hanging="360"/>
      </w:pPr>
      <w:rPr>
        <w:rFonts w:ascii="Arial" w:hAnsi="Arial" w:cs="Open 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62EB3"/>
    <w:multiLevelType w:val="multilevel"/>
    <w:tmpl w:val="6EB24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76A2BEE"/>
    <w:multiLevelType w:val="hybridMultilevel"/>
    <w:tmpl w:val="661EF090"/>
    <w:lvl w:ilvl="0" w:tplc="A0A8F650">
      <w:start w:val="1"/>
      <w:numFmt w:val="decimal"/>
      <w:lvlText w:val="%1."/>
      <w:lvlJc w:val="left"/>
      <w:pPr>
        <w:ind w:left="720" w:hanging="360"/>
      </w:pPr>
      <w:rPr>
        <w:rFonts w:ascii="Arial" w:hAnsi="Arial" w:cs="Open 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6FD2"/>
    <w:rsid w:val="00103F1D"/>
    <w:rsid w:val="00202638"/>
    <w:rsid w:val="002D22ED"/>
    <w:rsid w:val="002F4CAF"/>
    <w:rsid w:val="0031156C"/>
    <w:rsid w:val="00442BA3"/>
    <w:rsid w:val="005C59AF"/>
    <w:rsid w:val="005D7AFE"/>
    <w:rsid w:val="005E6365"/>
    <w:rsid w:val="006325C7"/>
    <w:rsid w:val="006B58A2"/>
    <w:rsid w:val="009409E1"/>
    <w:rsid w:val="00B0053A"/>
    <w:rsid w:val="00B7138F"/>
    <w:rsid w:val="00CA6C70"/>
    <w:rsid w:val="00E37331"/>
    <w:rsid w:val="00E740A7"/>
    <w:rsid w:val="00E96985"/>
    <w:rsid w:val="00ED5B07"/>
    <w:rsid w:val="00F66FD2"/>
    <w:rsid w:val="00F8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2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2ED"/>
    <w:rPr>
      <w:rFonts w:ascii="Tahoma" w:hAnsi="Tahoma" w:cs="Tahoma"/>
      <w:sz w:val="16"/>
      <w:szCs w:val="16"/>
    </w:rPr>
  </w:style>
  <w:style w:type="character" w:styleId="Hyperlink">
    <w:name w:val="Hyperlink"/>
    <w:rsid w:val="002D22ED"/>
    <w:rPr>
      <w:color w:val="000080"/>
      <w:u w:val="single"/>
    </w:rPr>
  </w:style>
  <w:style w:type="paragraph" w:customStyle="1" w:styleId="Contedodatabela">
    <w:name w:val="Conteúdo da tabela"/>
    <w:basedOn w:val="Normal"/>
    <w:qFormat/>
    <w:rsid w:val="002D22ED"/>
    <w:pPr>
      <w:widowControl w:val="0"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styleId="PargrafodaLista">
    <w:name w:val="List Paragraph"/>
    <w:basedOn w:val="Normal"/>
    <w:uiPriority w:val="34"/>
    <w:qFormat/>
    <w:rsid w:val="002D2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409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9E1"/>
  </w:style>
  <w:style w:type="paragraph" w:styleId="Rodap">
    <w:name w:val="footer"/>
    <w:basedOn w:val="Normal"/>
    <w:link w:val="RodapChar"/>
    <w:uiPriority w:val="99"/>
    <w:unhideWhenUsed/>
    <w:rsid w:val="009409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2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2ED"/>
    <w:rPr>
      <w:rFonts w:ascii="Tahoma" w:hAnsi="Tahoma" w:cs="Tahoma"/>
      <w:sz w:val="16"/>
      <w:szCs w:val="16"/>
    </w:rPr>
  </w:style>
  <w:style w:type="character" w:styleId="Hyperlink">
    <w:name w:val="Hyperlink"/>
    <w:rsid w:val="002D22ED"/>
    <w:rPr>
      <w:color w:val="000080"/>
      <w:u w:val="single"/>
    </w:rPr>
  </w:style>
  <w:style w:type="paragraph" w:customStyle="1" w:styleId="Contedodatabela">
    <w:name w:val="Conteúdo da tabela"/>
    <w:basedOn w:val="Normal"/>
    <w:qFormat/>
    <w:rsid w:val="002D22ED"/>
    <w:pPr>
      <w:widowControl w:val="0"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styleId="PargrafodaLista">
    <w:name w:val="List Paragraph"/>
    <w:basedOn w:val="Normal"/>
    <w:uiPriority w:val="34"/>
    <w:qFormat/>
    <w:rsid w:val="002D2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409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9E1"/>
  </w:style>
  <w:style w:type="paragraph" w:styleId="Rodap">
    <w:name w:val="footer"/>
    <w:basedOn w:val="Normal"/>
    <w:link w:val="RodapChar"/>
    <w:uiPriority w:val="99"/>
    <w:unhideWhenUsed/>
    <w:rsid w:val="009409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028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20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neldeprecos.planejamento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Dhanny Fernanda Ferreira de Freitas</dc:creator>
  <cp:lastModifiedBy>Dhanny Fernanda Ferreira de Freitas</cp:lastModifiedBy>
  <cp:revision>14</cp:revision>
  <cp:lastPrinted>2019-06-21T20:39:00Z</cp:lastPrinted>
  <dcterms:created xsi:type="dcterms:W3CDTF">2019-05-31T13:50:00Z</dcterms:created>
  <dcterms:modified xsi:type="dcterms:W3CDTF">2019-06-21T20:40:00Z</dcterms:modified>
</cp:coreProperties>
</file>